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spacing w:before="120" w:beforeAutospacing="0" w:after="120" w:afterAutospacing="0" w:line="360" w:lineRule="auto"/>
        <w:rPr>
          <w:color w:val="auto"/>
          <w:highlight w:val="none"/>
        </w:rPr>
      </w:pPr>
      <w:r>
        <w:rPr>
          <w:color w:val="auto"/>
          <w:highlight w:val="none"/>
        </w:rPr>
        <w:t xml:space="preserve"> </w:t>
      </w:r>
      <w:r>
        <w:rPr>
          <w:color w:val="auto"/>
        </w:rPr>
      </w:r>
      <w:r/>
    </w:p>
    <w:p>
      <w:pPr>
        <w:pStyle w:val="86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rPr>
          <w:color w:val="auto"/>
        </w:rPr>
      </w:r>
      <w:r/>
    </w:p>
    <w:p>
      <w:pPr>
        <w:pStyle w:val="86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rPr>
          <w:color w:val="auto"/>
        </w:rPr>
      </w:r>
      <w:r/>
    </w:p>
    <w:p>
      <w:pPr>
        <w:pStyle w:val="869"/>
        <w:spacing w:before="120" w:beforeAutospacing="0" w:after="120" w:afterAutospacing="0" w:line="360" w:lineRule="auto"/>
        <w:rPr>
          <w:rFonts w:hint="eastAsia"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滨海县城市园林绿化管理所 2025 年南湖桥南侧</w:t>
      </w:r>
      <w:r>
        <w:rPr>
          <w:color w:val="auto"/>
        </w:rPr>
      </w:r>
      <w:r/>
    </w:p>
    <w:p>
      <w:pPr>
        <w:pStyle w:val="869"/>
        <w:spacing w:before="120" w:beforeAutospacing="0" w:after="120" w:afterAutospacing="0" w:line="360" w:lineRule="auto"/>
        <w:rPr>
          <w:rFonts w:hint="eastAsia" w:ascii="Arial" w:hAnsi="Arial" w:cs="Arial" w:eastAsiaTheme="minorEastAsia"/>
          <w:b/>
          <w:color w:val="auto"/>
          <w:sz w:val="32"/>
          <w:szCs w:val="32"/>
          <w:highlight w:val="none"/>
        </w:rPr>
      </w:pPr>
      <w:r>
        <w:rPr>
          <w:rFonts w:hint="eastAsia" w:ascii="Arial" w:hAnsi="Arial" w:cs="Arial"/>
          <w:b/>
          <w:color w:val="auto"/>
          <w:sz w:val="32"/>
          <w:szCs w:val="32"/>
          <w:highlight w:val="none"/>
        </w:rPr>
        <w:t xml:space="preserve">新建木栈道(含设计)</w:t>
      </w:r>
      <w:r>
        <w:rPr>
          <w:rFonts w:hint="eastAsia" w:ascii="Arial" w:hAnsi="Arial" w:cs="Arial"/>
          <w:b/>
          <w:color w:val="auto"/>
          <w:sz w:val="32"/>
          <w:szCs w:val="32"/>
          <w:highlight w:val="none"/>
          <w:lang w:val="en-US" w:eastAsia="zh-CN"/>
        </w:rPr>
        <w:t xml:space="preserve">项目</w:t>
      </w:r>
      <w:r>
        <w:rPr>
          <w:color w:val="auto"/>
        </w:rPr>
      </w:r>
      <w:r/>
    </w:p>
    <w:p>
      <w:pPr>
        <w:pStyle w:val="869"/>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rPr>
          <w:color w:val="auto"/>
        </w:rPr>
      </w:r>
      <w:r/>
    </w:p>
    <w:p>
      <w:pPr>
        <w:pStyle w:val="869"/>
        <w:jc w:val="both"/>
        <w:spacing w:before="120" w:beforeAutospacing="0" w:after="120" w:afterAutospacing="0" w:line="360" w:lineRule="auto"/>
        <w:rPr>
          <w:rFonts w:hint="eastAsia" w:eastAsiaTheme="minorEastAsia"/>
          <w:color w:val="auto"/>
          <w:highlight w:val="none"/>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rPr>
        <w:t xml:space="preserve">JSZC-320922-ZQYC-G2025-004</w:t>
      </w:r>
      <w:r>
        <w:rPr>
          <w:rFonts w:hint="eastAsia" w:ascii="Arial" w:hAnsi="Arial" w:cs="Arial"/>
          <w:b/>
          <w:color w:val="auto"/>
          <w:sz w:val="32"/>
          <w:szCs w:val="32"/>
          <w:highlight w:val="none"/>
          <w:lang w:val="en-US" w:eastAsia="zh-CN"/>
        </w:rPr>
        <w:t xml:space="preserve">4</w:t>
      </w:r>
      <w:r>
        <w:rPr>
          <w:color w:val="auto"/>
        </w:rPr>
      </w:r>
      <w:r/>
    </w:p>
    <w:p>
      <w:pPr>
        <w:pStyle w:val="869"/>
        <w:spacing w:beforeAutospacing="0" w:afterAutospacing="0" w:line="360" w:lineRule="auto"/>
        <w:rPr>
          <w:color w:val="auto"/>
          <w:highlight w:val="none"/>
        </w:rPr>
      </w:pPr>
      <w:r>
        <w:rPr>
          <w:color w:val="auto"/>
          <w:highlight w:val="none"/>
        </w:rPr>
        <w:t xml:space="preserve"> </w:t>
      </w:r>
      <w:r>
        <w:rPr>
          <w:color w:val="auto"/>
        </w:rPr>
      </w:r>
      <w:r/>
    </w:p>
    <w:p>
      <w:pPr>
        <w:pStyle w:val="869"/>
        <w:spacing w:beforeAutospacing="0" w:afterAutospacing="0" w:line="360" w:lineRule="auto"/>
        <w:rPr>
          <w:color w:val="auto"/>
          <w:highlight w:val="none"/>
        </w:rPr>
      </w:pPr>
      <w:r>
        <w:rPr>
          <w:color w:val="auto"/>
          <w:highlight w:val="none"/>
        </w:rPr>
        <w:t xml:space="preserve"> </w:t>
      </w:r>
      <w:r>
        <w:rPr>
          <w:color w:val="auto"/>
        </w:rPr>
      </w:r>
      <w:r/>
    </w:p>
    <w:p>
      <w:pPr>
        <w:pStyle w:val="869"/>
        <w:spacing w:beforeAutospacing="0" w:afterAutospacing="0" w:line="360" w:lineRule="auto"/>
        <w:rPr>
          <w:color w:val="auto"/>
          <w:highlight w:val="none"/>
        </w:rPr>
      </w:pPr>
      <w:r>
        <w:rPr>
          <w:color w:val="auto"/>
          <w:highlight w:val="none"/>
        </w:rPr>
        <w:t xml:space="preserve"> </w:t>
      </w:r>
      <w:r>
        <w:rPr>
          <w:color w:val="auto"/>
        </w:rPr>
      </w:r>
      <w:r/>
    </w:p>
    <w:p>
      <w:pPr>
        <w:pStyle w:val="869"/>
        <w:spacing w:beforeAutospacing="0" w:afterAutospacing="0" w:line="360" w:lineRule="auto"/>
        <w:rPr>
          <w:color w:val="auto"/>
          <w:highlight w:val="none"/>
        </w:rPr>
      </w:pPr>
      <w:r>
        <w:rPr>
          <w:color w:val="auto"/>
          <w:highlight w:val="none"/>
        </w:rPr>
        <w:t xml:space="preserve"> </w:t>
      </w:r>
      <w:r>
        <w:rPr>
          <w:color w:val="auto"/>
        </w:rPr>
      </w:r>
      <w:r/>
    </w:p>
    <w:p>
      <w:pPr>
        <w:pStyle w:val="869"/>
        <w:spacing w:beforeAutospacing="0" w:afterAutospacing="0" w:line="360" w:lineRule="auto"/>
        <w:rPr>
          <w:color w:val="auto"/>
          <w:highlight w:val="none"/>
        </w:rPr>
      </w:pPr>
      <w:r>
        <w:rPr>
          <w:color w:val="auto"/>
          <w:highlight w:val="none"/>
        </w:rPr>
        <w:t xml:space="preserve"> </w:t>
      </w:r>
      <w:r>
        <w:rPr>
          <w:color w:val="auto"/>
        </w:rPr>
      </w:r>
      <w:r/>
    </w:p>
    <w:p>
      <w:pPr>
        <w:pStyle w:val="869"/>
        <w:spacing w:beforeAutospacing="0" w:afterAutospacing="0" w:line="360" w:lineRule="auto"/>
        <w:rPr>
          <w:color w:val="auto"/>
          <w:highlight w:val="none"/>
        </w:rPr>
      </w:pPr>
      <w:r>
        <w:rPr>
          <w:color w:val="auto"/>
          <w:highlight w:val="none"/>
        </w:rPr>
        <w:t xml:space="preserve"> </w:t>
      </w:r>
      <w:r>
        <w:rPr>
          <w:color w:val="auto"/>
        </w:rPr>
      </w:r>
      <w:r/>
    </w:p>
    <w:p>
      <w:pPr>
        <w:pStyle w:val="869"/>
        <w:spacing w:beforeAutospacing="0" w:afterAutospacing="0" w:line="360" w:lineRule="auto"/>
        <w:rPr>
          <w:color w:val="auto"/>
          <w:highlight w:val="none"/>
        </w:rPr>
      </w:pPr>
      <w:r>
        <w:rPr>
          <w:color w:val="auto"/>
          <w:highlight w:val="none"/>
        </w:rPr>
        <w:t xml:space="preserve"> </w:t>
      </w:r>
      <w:r>
        <w:rPr>
          <w:color w:val="auto"/>
        </w:rPr>
      </w:r>
      <w:r/>
    </w:p>
    <w:p>
      <w:pPr>
        <w:pStyle w:val="869"/>
        <w:spacing w:beforeAutospacing="0" w:afterAutospacing="0" w:line="360" w:lineRule="auto"/>
        <w:rPr>
          <w:color w:val="auto"/>
          <w:highlight w:val="none"/>
        </w:rPr>
      </w:pPr>
      <w:r>
        <w:rPr>
          <w:color w:val="auto"/>
          <w:highlight w:val="none"/>
        </w:rPr>
      </w:r>
      <w:r>
        <w:rPr>
          <w:color w:val="auto"/>
        </w:rPr>
      </w:r>
      <w:r/>
    </w:p>
    <w:p>
      <w:pPr>
        <w:pStyle w:val="869"/>
        <w:spacing w:beforeAutospacing="0" w:afterAutospacing="0" w:line="360" w:lineRule="auto"/>
        <w:rPr>
          <w:color w:val="auto"/>
          <w:highlight w:val="none"/>
        </w:rPr>
      </w:pPr>
      <w:r>
        <w:rPr>
          <w:color w:val="auto"/>
          <w:highlight w:val="none"/>
        </w:rPr>
      </w:r>
      <w:r>
        <w:rPr>
          <w:color w:val="auto"/>
        </w:rPr>
      </w:r>
      <w:r/>
    </w:p>
    <w:p>
      <w:pPr>
        <w:pStyle w:val="869"/>
        <w:spacing w:beforeAutospacing="0" w:afterAutospacing="0" w:line="360" w:lineRule="auto"/>
        <w:rPr>
          <w:color w:val="auto"/>
          <w:highlight w:val="none"/>
        </w:rPr>
      </w:pPr>
      <w:r>
        <w:rPr>
          <w:color w:val="auto"/>
          <w:highlight w:val="none"/>
        </w:rPr>
      </w:r>
      <w:r>
        <w:rPr>
          <w:color w:val="auto"/>
        </w:rPr>
      </w:r>
      <w:r/>
    </w:p>
    <w:p>
      <w:pPr>
        <w:pStyle w:val="86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滨海县城市管理局</w:t>
      </w:r>
      <w:r>
        <w:rPr>
          <w:color w:val="auto"/>
        </w:rPr>
      </w:r>
      <w:r/>
    </w:p>
    <w:p>
      <w:pPr>
        <w:pStyle w:val="869"/>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2025年12月</w:t>
      </w:r>
      <w:r>
        <w:rPr>
          <w:color w:val="auto"/>
        </w:rPr>
      </w:r>
      <w:r/>
    </w:p>
    <w:p>
      <w:pPr>
        <w:pStyle w:val="869"/>
        <w:jc w:val="center"/>
        <w:spacing w:before="120" w:beforeAutospacing="0" w:after="120" w:afterAutospacing="0" w:line="360" w:lineRule="auto"/>
        <w:rPr>
          <w:color w:val="auto"/>
          <w:highlight w:val="none"/>
        </w:rPr>
      </w:pPr>
      <w:r>
        <w:rPr>
          <w:color w:val="auto"/>
          <w:highlight w:val="none"/>
        </w:rPr>
        <w:t xml:space="preserve"> </w:t>
      </w:r>
      <w:r>
        <w:rPr>
          <w:color w:val="auto"/>
        </w:rPr>
      </w:r>
      <w:r/>
    </w:p>
    <w:p>
      <w:pPr>
        <w:pStyle w:val="86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rPr>
          <w:color w:val="auto"/>
        </w:rPr>
      </w:r>
      <w:r/>
    </w:p>
    <w:p>
      <w:pPr>
        <w:pStyle w:val="86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rPr>
          <w:color w:val="auto"/>
        </w:rPr>
      </w:r>
      <w:r/>
    </w:p>
    <w:p>
      <w:pPr>
        <w:pStyle w:val="869"/>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23127445"/>
      <w:r>
        <w:rPr>
          <w:color w:val="auto"/>
        </w:rPr>
      </w:r>
      <w:bookmarkStart w:id="1" w:name="_Toc479757206"/>
      <w:r>
        <w:rPr>
          <w:color w:val="auto"/>
        </w:rPr>
      </w:r>
      <w:bookmarkStart w:id="2" w:name="_Toc16938516"/>
      <w:r>
        <w:rPr>
          <w:color w:val="auto"/>
        </w:rPr>
      </w:r>
      <w:bookmarkStart w:id="3" w:name="_Toc20823272"/>
      <w:r>
        <w:rPr>
          <w:color w:val="auto"/>
        </w:rPr>
      </w:r>
      <w:bookmarkStart w:id="4" w:name="_Toc120614210"/>
      <w:r>
        <w:rPr>
          <w:color w:val="auto"/>
        </w:rPr>
      </w:r>
      <w:bookmarkStart w:id="5" w:name="_Toc513029200"/>
      <w:r>
        <w:rPr>
          <w:rFonts w:ascii="黑体" w:hAnsi="宋体" w:eastAsia="黑体" w:cs="黑体"/>
          <w:b/>
          <w:color w:val="auto"/>
          <w:sz w:val="44"/>
          <w:szCs w:val="44"/>
          <w:highlight w:val="none"/>
        </w:rPr>
        <w:t xml:space="preserve">总  目  录</w:t>
      </w:r>
      <w:bookmarkEnd w:id="0"/>
      <w:r>
        <w:rPr>
          <w:color w:val="auto"/>
        </w:rPr>
      </w:r>
      <w:bookmarkEnd w:id="1"/>
      <w:r>
        <w:rPr>
          <w:color w:val="auto"/>
        </w:rPr>
      </w:r>
      <w:bookmarkEnd w:id="2"/>
      <w:r>
        <w:rPr>
          <w:color w:val="auto"/>
        </w:rPr>
      </w:r>
      <w:bookmarkEnd w:id="3"/>
      <w:r>
        <w:rPr>
          <w:color w:val="auto"/>
        </w:rPr>
      </w:r>
      <w:bookmarkEnd w:id="4"/>
      <w:r>
        <w:rPr>
          <w:color w:val="auto"/>
        </w:rPr>
      </w:r>
      <w:bookmarkEnd w:id="5"/>
      <w:r>
        <w:rPr>
          <w:color w:val="auto"/>
        </w:rPr>
      </w:r>
      <w:r/>
    </w:p>
    <w:p>
      <w:pPr>
        <w:pStyle w:val="869"/>
        <w:jc w:val="both"/>
        <w:spacing w:beforeAutospacing="0" w:afterAutospacing="0" w:line="480" w:lineRule="auto"/>
        <w:rPr>
          <w:color w:val="auto"/>
          <w:highlight w:val="none"/>
        </w:rPr>
      </w:pPr>
      <w:r>
        <w:rPr>
          <w:color w:val="auto"/>
          <w:highlight w:val="none"/>
        </w:rPr>
        <w:t xml:space="preserve"> </w:t>
      </w:r>
      <w:r>
        <w:rPr>
          <w:color w:val="auto"/>
        </w:rPr>
      </w:r>
      <w:r/>
    </w:p>
    <w:p>
      <w:pPr>
        <w:pStyle w:val="86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 3</w:t>
      </w:r>
      <w:r>
        <w:rPr>
          <w:rFonts w:hint="eastAsia" w:ascii="黑体" w:hAnsi="宋体" w:eastAsia="黑体" w:cs="黑体"/>
          <w:color w:val="auto"/>
          <w:sz w:val="36"/>
          <w:szCs w:val="36"/>
          <w:highlight w:val="none"/>
        </w:rPr>
        <w:t xml:space="preserve"> </w:t>
      </w:r>
      <w:r>
        <w:rPr>
          <w:color w:val="auto"/>
        </w:rPr>
      </w:r>
      <w:r/>
    </w:p>
    <w:p>
      <w:pPr>
        <w:pStyle w:val="86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 6</w:t>
      </w:r>
      <w:r>
        <w:rPr>
          <w:rFonts w:hint="eastAsia" w:ascii="黑体" w:hAnsi="宋体" w:eastAsia="黑体" w:cs="黑体"/>
          <w:color w:val="auto"/>
          <w:sz w:val="36"/>
          <w:szCs w:val="36"/>
          <w:highlight w:val="none"/>
        </w:rPr>
        <w:t xml:space="preserve">  </w:t>
      </w:r>
      <w:r>
        <w:rPr>
          <w:color w:val="auto"/>
        </w:rPr>
      </w:r>
      <w:r/>
    </w:p>
    <w:p>
      <w:pPr>
        <w:pStyle w:val="869"/>
        <w:ind w:left="2160" w:hanging="1440"/>
        <w:jc w:val="both"/>
        <w:spacing w:beforeAutospacing="0" w:afterAutospacing="0" w:line="480" w:lineRule="auto"/>
        <w:tabs>
          <w:tab w:val="left" w:pos="1441" w:leader="none"/>
        </w:tabs>
        <w:rPr>
          <w:rFonts w:hint="default" w:eastAsia="黑体"/>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17</w:t>
      </w:r>
      <w:r>
        <w:rPr>
          <w:color w:val="auto"/>
        </w:rPr>
      </w:r>
      <w:r/>
    </w:p>
    <w:p>
      <w:pPr>
        <w:pStyle w:val="869"/>
        <w:ind w:left="2160" w:hanging="1440"/>
        <w:jc w:val="both"/>
        <w:spacing w:beforeAutospacing="0" w:afterAutospacing="0" w:line="480" w:lineRule="auto"/>
        <w:tabs>
          <w:tab w:val="left" w:pos="1441" w:leader="none"/>
        </w:tabs>
        <w:rPr>
          <w:rFonts w:hint="default" w:eastAsia="黑体"/>
          <w:color w:val="auto"/>
          <w:highlight w:val="none"/>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41</w:t>
      </w:r>
      <w:r>
        <w:rPr>
          <w:color w:val="auto"/>
        </w:rPr>
      </w:r>
      <w:r/>
    </w:p>
    <w:p>
      <w:pPr>
        <w:pStyle w:val="869"/>
        <w:ind w:left="2160" w:hanging="1440"/>
        <w:jc w:val="both"/>
        <w:spacing w:beforeAutospacing="0" w:afterAutospacing="0" w:line="480" w:lineRule="auto"/>
        <w:tabs>
          <w:tab w:val="left" w:pos="1441" w:leader="none"/>
        </w:tabs>
        <w:rPr>
          <w:rFonts w:hint="default" w:eastAsia="黑体"/>
          <w:color w:val="auto"/>
          <w:highlight w:val="none"/>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42</w:t>
      </w:r>
      <w:r>
        <w:rPr>
          <w:color w:val="auto"/>
        </w:rPr>
      </w:r>
      <w:r/>
    </w:p>
    <w:p>
      <w:pPr>
        <w:pStyle w:val="869"/>
        <w:ind w:left="2160" w:hanging="1440"/>
        <w:jc w:val="both"/>
        <w:spacing w:beforeAutospacing="0" w:afterAutospacing="0" w:line="480" w:lineRule="auto"/>
        <w:tabs>
          <w:tab w:val="left" w:pos="1441" w:leader="none"/>
        </w:tabs>
        <w:rPr>
          <w:rFonts w:hint="default" w:eastAsia="黑体"/>
          <w:color w:val="auto"/>
          <w:highlight w:val="none"/>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43</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center"/>
        <w:keepNext/>
        <w:spacing w:beforeAutospacing="0" w:afterAutospacing="0"/>
        <w:rPr>
          <w:rFonts w:hint="default" w:eastAsia="黑体"/>
          <w:color w:val="auto"/>
          <w:highlight w:val="none"/>
        </w:rPr>
      </w:pPr>
      <w:r>
        <w:rPr>
          <w:color w:val="auto"/>
        </w:r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滨海县城市园林绿化管理所 2025 年南湖桥南侧新建木栈道(含设计)</w:t>
      </w:r>
      <w:r>
        <w:rPr>
          <w:rFonts w:hint="eastAsia" w:ascii="宋体" w:hAnsi="宋体" w:eastAsia="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15时</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lang w:val="en-US" w:eastAsia="zh-CN"/>
        </w:rPr>
        <w:t xml:space="preserve">00秒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rPr>
          <w:color w:val="auto"/>
        </w:rPr>
      </w:r>
      <w:r/>
    </w:p>
    <w:p>
      <w:pPr>
        <w:pStyle w:val="8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7" w:name="_Toc35393790"/>
      <w:r>
        <w:rPr>
          <w:color w:val="auto"/>
        </w:rPr>
      </w:r>
      <w:bookmarkStart w:id="8" w:name="_Toc35393621"/>
      <w:r>
        <w:rPr>
          <w:color w:val="auto"/>
        </w:rPr>
      </w:r>
      <w:bookmarkStart w:id="9" w:name="_Toc28359079"/>
      <w:r>
        <w:rPr>
          <w:color w:val="auto"/>
        </w:rPr>
      </w:r>
      <w:bookmarkStart w:id="10" w:name="_Toc28359002"/>
      <w:r>
        <w:rPr>
          <w:color w:val="auto"/>
        </w:rPr>
      </w:r>
      <w:bookmarkStart w:id="11" w:name="_Toc38985263"/>
      <w:r>
        <w:rPr>
          <w:color w:val="auto"/>
        </w:rPr>
      </w:r>
      <w:bookmarkStart w:id="12" w:name="_Hlk24379207"/>
      <w:r>
        <w:rPr>
          <w:rFonts w:hint="eastAsia" w:ascii="宋体" w:hAnsi="宋体" w:eastAsia="宋体" w:cs="宋体"/>
          <w:b/>
          <w:color w:val="auto"/>
          <w:sz w:val="24"/>
          <w:szCs w:val="24"/>
          <w:highlight w:val="none"/>
        </w:rPr>
        <w:t xml:space="preserve">一、项目基本情况</w:t>
      </w:r>
      <w:bookmarkEnd w:id="7"/>
      <w:r>
        <w:rPr>
          <w:color w:val="auto"/>
        </w:rPr>
      </w:r>
      <w:bookmarkEnd w:id="8"/>
      <w:r>
        <w:rPr>
          <w:color w:val="auto"/>
        </w:rPr>
      </w:r>
      <w:bookmarkEnd w:id="9"/>
      <w:r>
        <w:rPr>
          <w:color w:val="auto"/>
        </w:rPr>
      </w:r>
      <w:bookmarkEnd w:id="10"/>
      <w:r>
        <w:rPr>
          <w:color w:val="auto"/>
        </w:rPr>
      </w:r>
      <w:bookmarkEnd w:id="11"/>
      <w:r>
        <w:rPr>
          <w:color w:val="auto"/>
        </w:rPr>
      </w:r>
      <w:bookmarkEnd w:id="12"/>
      <w:r>
        <w:rPr>
          <w:color w:val="auto"/>
        </w:rPr>
      </w:r>
      <w:r/>
    </w:p>
    <w:p>
      <w:pPr>
        <w:pStyle w:val="869"/>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1.项目编号：JSZC-320922-ZQYC-G2025-0044</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目名称：滨海县城市园林绿化管理所 2025 年南湖桥南侧新建木栈道(含设计)项目</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rPr>
          <w:color w:val="auto"/>
        </w:rPr>
      </w:r>
      <w:r/>
    </w:p>
    <w:p>
      <w:pPr>
        <w:pStyle w:val="869"/>
        <w:ind w:firstLine="480"/>
        <w:jc w:val="both"/>
        <w:spacing w:beforeAutospacing="0" w:afterAutospacing="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69.5万元；</w:t>
      </w:r>
      <w:bookmarkStart w:id="194" w:name="_GoBack"/>
      <w:r>
        <w:rPr>
          <w:color w:val="auto"/>
        </w:rPr>
      </w:r>
      <w:bookmarkEnd w:id="194"/>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69.5</w:t>
      </w:r>
      <w:r>
        <w:rPr>
          <w:rFonts w:hint="eastAsia" w:ascii="宋体" w:hAnsi="宋体" w:eastAsia="宋体" w:cs="宋体"/>
          <w:i w:val="0"/>
          <w:iCs w:val="0"/>
          <w:caps w:val="0"/>
          <w:color w:val="auto"/>
          <w:spacing w:val="0"/>
          <w:sz w:val="24"/>
          <w:szCs w:val="24"/>
          <w:highlight w:val="none"/>
          <w:shd w:val="clear" w:color="auto" w:fill="ffffff"/>
        </w:rPr>
        <w:t xml:space="preserve">万元；</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滨海县城市园林绿化管理所 2025 年南湖桥南侧新建木栈道(含设计)项目共分一个包件</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具体包含C40砼方桩制作、水上施打，方桩钢筋制作安装，水上搭设桥面浇筑平台</w:t>
      </w:r>
      <w:r>
        <w:rPr>
          <w:rFonts w:hint="eastAsia" w:ascii="宋体" w:hAnsi="宋体" w:eastAsia="宋体" w:cs="宋体"/>
          <w:color w:val="auto"/>
          <w:sz w:val="24"/>
          <w:szCs w:val="24"/>
          <w:highlight w:val="none"/>
          <w:shd w:val="clear" w:color="auto" w:fill="auto"/>
          <w:lang w:eastAsia="zh-CN"/>
        </w:rPr>
        <w:t xml:space="preserve">，塑木栏杆扶手及构件购置安装</w:t>
      </w:r>
      <w:r>
        <w:rPr>
          <w:rFonts w:hint="eastAsia" w:ascii="宋体" w:hAnsi="宋体" w:eastAsia="宋体" w:cs="宋体"/>
          <w:color w:val="auto"/>
          <w:sz w:val="24"/>
          <w:szCs w:val="24"/>
          <w:highlight w:val="none"/>
          <w:shd w:val="clear" w:color="auto" w:fill="auto"/>
          <w:lang w:val="en-US" w:eastAsia="zh-CN"/>
        </w:rPr>
        <w:t xml:space="preserve">等，</w:t>
      </w:r>
      <w:r>
        <w:rPr>
          <w:rFonts w:hint="eastAsia" w:ascii="宋体" w:hAnsi="宋体" w:eastAsia="宋体" w:cs="宋体"/>
          <w:color w:val="auto"/>
          <w:sz w:val="24"/>
          <w:szCs w:val="24"/>
          <w:highlight w:val="none"/>
          <w:shd w:val="clear" w:color="auto" w:fill="auto"/>
        </w:rPr>
        <w:t xml:space="preserve">详细内容见本招标文件第四章</w:t>
      </w:r>
      <w:r>
        <w:rPr>
          <w:rFonts w:hint="eastAsia" w:ascii="宋体" w:hAnsi="宋体" w:eastAsia="宋体" w:cs="宋体"/>
          <w:color w:val="auto"/>
          <w:sz w:val="24"/>
          <w:szCs w:val="24"/>
          <w:highlight w:val="none"/>
          <w:shd w:val="clear" w:color="auto" w:fill="auto"/>
          <w:lang w:eastAsia="zh-CN"/>
        </w:rPr>
        <w:t xml:space="preserve">。</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45日历天</w:t>
      </w:r>
      <w:r>
        <w:rPr>
          <w:color w:val="auto"/>
        </w:rPr>
      </w:r>
      <w:r/>
    </w:p>
    <w:p>
      <w:pPr>
        <w:pStyle w:val="869"/>
        <w:ind w:firstLine="480"/>
        <w:jc w:val="both"/>
        <w:spacing w:beforeAutospacing="0" w:afterAutospacing="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8.质保期：一年。</w:t>
      </w:r>
      <w:r>
        <w:rPr>
          <w:color w:val="auto"/>
        </w:rPr>
      </w:r>
      <w:r/>
    </w:p>
    <w:p>
      <w:pPr>
        <w:pStyle w:val="8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13" w:name="_Toc28359080"/>
      <w:r>
        <w:rPr>
          <w:color w:val="auto"/>
        </w:rPr>
      </w:r>
      <w:bookmarkStart w:id="14" w:name="_Toc38985264"/>
      <w:r>
        <w:rPr>
          <w:color w:val="auto"/>
        </w:rPr>
      </w:r>
      <w:bookmarkStart w:id="15" w:name="_Toc35393791"/>
      <w:r>
        <w:rPr>
          <w:color w:val="auto"/>
        </w:rPr>
      </w:r>
      <w:bookmarkStart w:id="16" w:name="_Toc35393622"/>
      <w:r>
        <w:rPr>
          <w:color w:val="auto"/>
        </w:rPr>
      </w:r>
      <w:bookmarkStart w:id="17" w:name="_Toc28359003"/>
      <w:r>
        <w:rPr>
          <w:rFonts w:hint="eastAsia" w:ascii="宋体" w:hAnsi="宋体" w:eastAsia="宋体" w:cs="宋体"/>
          <w:b/>
          <w:color w:val="auto"/>
          <w:sz w:val="24"/>
          <w:szCs w:val="24"/>
          <w:highlight w:val="none"/>
        </w:rPr>
        <w:t xml:space="preserve">二、申请人的资格要求：</w:t>
      </w:r>
      <w:bookmarkEnd w:id="13"/>
      <w:r>
        <w:rPr>
          <w:color w:val="auto"/>
        </w:rPr>
      </w:r>
      <w:bookmarkEnd w:id="14"/>
      <w:r>
        <w:rPr>
          <w:color w:val="auto"/>
        </w:rPr>
      </w:r>
      <w:bookmarkEnd w:id="15"/>
      <w:r>
        <w:rPr>
          <w:color w:val="auto"/>
        </w:rPr>
      </w:r>
      <w:bookmarkEnd w:id="16"/>
      <w:r>
        <w:rPr>
          <w:color w:val="auto"/>
        </w:rPr>
      </w:r>
      <w:bookmarkEnd w:id="17"/>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1.6法律、行政法规规定的其他条件。</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auto"/>
        </w:rPr>
      </w:r>
      <w:r/>
    </w:p>
    <w:p>
      <w:pPr>
        <w:pStyle w:val="869"/>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rPr>
          <w:color w:val="auto"/>
        </w:rPr>
      </w:r>
      <w:r/>
    </w:p>
    <w:p>
      <w:pPr>
        <w:pStyle w:val="869"/>
        <w:numPr>
          <w:ilvl w:val="0"/>
          <w:numId w:val="1"/>
        </w:numPr>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color w:val="auto"/>
          <w:sz w:val="24"/>
          <w:szCs w:val="24"/>
          <w:highlight w:val="none"/>
          <w:shd w:val="clear" w:color="auto" w:fill="auto"/>
          <w:lang w:val="en-US" w:eastAsia="zh-CN"/>
        </w:rPr>
        <w:t xml:space="preserve">本项目专门面向小微型企业招标</w:t>
      </w:r>
      <w:r>
        <w:rPr>
          <w:rFonts w:hint="eastAsia" w:ascii="宋体" w:hAnsi="宋体" w:eastAsia="宋体" w:cs="宋体"/>
          <w:color w:val="auto"/>
          <w:sz w:val="24"/>
          <w:szCs w:val="24"/>
          <w:highlight w:val="none"/>
          <w:shd w:val="clear" w:color="auto" w:fill="auto"/>
        </w:rPr>
        <w:t xml:space="preserve">。</w:t>
      </w:r>
      <w:r>
        <w:rPr>
          <w:color w:val="auto"/>
        </w:rPr>
      </w:r>
      <w:r/>
    </w:p>
    <w:p>
      <w:pPr>
        <w:pStyle w:val="869"/>
        <w:numPr>
          <w:ilvl w:val="0"/>
          <w:numId w:val="1"/>
        </w:numPr>
        <w:ind w:left="0"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color w:val="auto"/>
        </w:rPr>
      </w:r>
      <w:r/>
    </w:p>
    <w:p>
      <w:pPr>
        <w:pStyle w:val="869"/>
        <w:numPr>
          <w:ilvl w:val="0"/>
          <w:numId w:val="0"/>
        </w:numPr>
        <w:ind w:left="480"/>
        <w:jc w:val="both"/>
        <w:spacing w:beforeAutospacing="0" w:afterAutospacing="0"/>
        <w:rPr>
          <w:rFonts w:hint="eastAsia" w:ascii="宋体" w:hAnsi="宋体" w:eastAsia="宋体" w:cs="宋体"/>
          <w:i w:val="0"/>
          <w:iCs w:val="0"/>
          <w:caps w:val="0"/>
          <w:color w:val="auto"/>
          <w:spacing w:val="0"/>
          <w:sz w:val="24"/>
          <w:szCs w:val="24"/>
          <w:highlight w:val="none"/>
          <w:u w:val="single"/>
          <w:shd w:val="clear" w:color="auto" w:fill="auto"/>
        </w:rPr>
      </w:pP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3.1</w:t>
      </w:r>
      <w:r>
        <w:rPr>
          <w:rFonts w:hint="eastAsia" w:ascii="宋体" w:hAnsi="宋体" w:eastAsia="宋体" w:cs="宋体"/>
          <w:i w:val="0"/>
          <w:iCs w:val="0"/>
          <w:caps w:val="0"/>
          <w:color w:val="auto"/>
          <w:spacing w:val="0"/>
          <w:sz w:val="24"/>
          <w:szCs w:val="24"/>
          <w:highlight w:val="none"/>
          <w:u w:val="single"/>
          <w:shd w:val="clear" w:color="auto" w:fill="auto"/>
        </w:rPr>
        <w:t xml:space="preserve">投标人须具备水利水电工程施工总承包</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三级</w:t>
      </w:r>
      <w:r>
        <w:rPr>
          <w:rFonts w:hint="eastAsia" w:ascii="宋体" w:hAnsi="宋体" w:eastAsia="宋体" w:cs="宋体"/>
          <w:i w:val="0"/>
          <w:iCs w:val="0"/>
          <w:caps w:val="0"/>
          <w:color w:val="auto"/>
          <w:spacing w:val="0"/>
          <w:sz w:val="24"/>
          <w:szCs w:val="24"/>
          <w:highlight w:val="none"/>
          <w:u w:val="single"/>
          <w:shd w:val="clear" w:color="auto" w:fill="auto"/>
        </w:rPr>
        <w:t xml:space="preserve">及以上资质</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w:t>
      </w:r>
      <w:r>
        <w:rPr>
          <w:color w:val="auto"/>
        </w:rPr>
      </w:r>
      <w:r/>
    </w:p>
    <w:p>
      <w:pPr>
        <w:pStyle w:val="869"/>
        <w:numPr>
          <w:ilvl w:val="0"/>
          <w:numId w:val="0"/>
        </w:numPr>
        <w:ind w:left="480"/>
        <w:jc w:val="both"/>
        <w:spacing w:beforeAutospacing="0" w:afterAutospacing="0"/>
        <w:rPr>
          <w:rFonts w:hint="eastAsia" w:ascii="宋体" w:hAnsi="宋体" w:eastAsia="宋体" w:cs="宋体"/>
          <w:i w:val="0"/>
          <w:iCs w:val="0"/>
          <w:caps w:val="0"/>
          <w:color w:val="auto"/>
          <w:spacing w:val="0"/>
          <w:sz w:val="24"/>
          <w:szCs w:val="24"/>
          <w:highlight w:val="none"/>
          <w:u w:val="single"/>
          <w:shd w:val="clear" w:color="auto" w:fill="auto"/>
        </w:rPr>
      </w:pP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3.2</w:t>
      </w:r>
      <w:r>
        <w:rPr>
          <w:rFonts w:hint="eastAsia" w:ascii="宋体" w:hAnsi="宋体" w:eastAsia="宋体" w:cs="宋体"/>
          <w:i w:val="0"/>
          <w:iCs w:val="0"/>
          <w:caps w:val="0"/>
          <w:color w:val="auto"/>
          <w:spacing w:val="0"/>
          <w:sz w:val="24"/>
          <w:szCs w:val="24"/>
          <w:highlight w:val="none"/>
          <w:u w:val="single"/>
          <w:shd w:val="clear" w:color="auto" w:fill="auto"/>
        </w:rPr>
        <w:t xml:space="preserve">项目经理要求：必须为投标人单位人员，具有【水利水电工程专业二级】及以上建造师注册证书</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；拟任项目经理须持有有效的水利行政主管部门颁发的安全生产考核证书（B类）。</w:t>
      </w:r>
      <w:r>
        <w:rPr>
          <w:color w:val="auto"/>
        </w:rPr>
      </w:r>
      <w:r/>
    </w:p>
    <w:p>
      <w:pPr>
        <w:pStyle w:val="869"/>
        <w:numPr>
          <w:ilvl w:val="0"/>
          <w:numId w:val="0"/>
        </w:numPr>
        <w:ind w:left="480"/>
        <w:jc w:val="both"/>
        <w:spacing w:beforeAutospacing="0" w:afterAutospacing="0"/>
        <w:rPr>
          <w:rFonts w:hint="eastAsia" w:ascii="宋体" w:hAnsi="宋体" w:eastAsia="宋体" w:cs="宋体"/>
          <w:i w:val="0"/>
          <w:iCs w:val="0"/>
          <w:caps w:val="0"/>
          <w:color w:val="auto"/>
          <w:spacing w:val="0"/>
          <w:sz w:val="24"/>
          <w:szCs w:val="24"/>
          <w:highlight w:val="none"/>
          <w:u w:val="single"/>
          <w:shd w:val="clear" w:color="auto" w:fill="auto"/>
        </w:rPr>
      </w:pP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3.3</w:t>
      </w:r>
      <w:r>
        <w:rPr>
          <w:rFonts w:hint="eastAsia" w:ascii="宋体" w:hAnsi="宋体" w:eastAsia="宋体" w:cs="宋体"/>
          <w:i w:val="0"/>
          <w:iCs w:val="0"/>
          <w:caps w:val="0"/>
          <w:color w:val="auto"/>
          <w:spacing w:val="0"/>
          <w:sz w:val="24"/>
          <w:szCs w:val="24"/>
          <w:highlight w:val="none"/>
          <w:u w:val="single"/>
          <w:shd w:val="clear" w:color="auto" w:fill="auto"/>
        </w:rPr>
        <w:t xml:space="preserve">业绩要求</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投标人须具有自2022年1月1日以来</w:t>
      </w:r>
      <w:r>
        <w:rPr>
          <w:rFonts w:hint="eastAsia" w:ascii="宋体" w:hAnsi="宋体" w:eastAsia="宋体" w:cs="宋体"/>
          <w:i w:val="0"/>
          <w:iCs w:val="0"/>
          <w:caps w:val="0"/>
          <w:color w:val="auto"/>
          <w:spacing w:val="0"/>
          <w:sz w:val="24"/>
          <w:szCs w:val="24"/>
          <w:highlight w:val="none"/>
          <w:u w:val="single"/>
          <w:shd w:val="clear" w:color="auto" w:fill="auto"/>
        </w:rPr>
        <w:t xml:space="preserve">木栈道</w:t>
      </w:r>
      <w:r>
        <w:rPr>
          <w:rFonts w:hint="eastAsia" w:ascii="宋体" w:hAnsi="宋体" w:eastAsia="宋体" w:cs="宋体"/>
          <w:i w:val="0"/>
          <w:iCs w:val="0"/>
          <w:caps w:val="0"/>
          <w:color w:val="auto"/>
          <w:spacing w:val="0"/>
          <w:sz w:val="24"/>
          <w:szCs w:val="24"/>
          <w:highlight w:val="none"/>
          <w:u w:val="single"/>
          <w:shd w:val="clear" w:color="auto" w:fill="auto"/>
        </w:rPr>
        <w:t xml:space="preserve">类似</w:t>
      </w:r>
      <w:r>
        <w:rPr>
          <w:rFonts w:hint="eastAsia" w:ascii="宋体" w:hAnsi="宋体" w:eastAsia="宋体" w:cs="宋体"/>
          <w:i w:val="0"/>
          <w:iCs w:val="0"/>
          <w:caps w:val="0"/>
          <w:color w:val="auto"/>
          <w:spacing w:val="0"/>
          <w:sz w:val="24"/>
          <w:szCs w:val="24"/>
          <w:highlight w:val="none"/>
          <w:u w:val="single"/>
          <w:shd w:val="clear" w:color="auto" w:fill="auto"/>
        </w:rPr>
        <w:t xml:space="preserve">的</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施工</w:t>
      </w:r>
      <w:r>
        <w:rPr>
          <w:rFonts w:hint="eastAsia" w:ascii="宋体" w:hAnsi="宋体" w:eastAsia="宋体" w:cs="宋体"/>
          <w:i w:val="0"/>
          <w:iCs w:val="0"/>
          <w:caps w:val="0"/>
          <w:color w:val="auto"/>
          <w:spacing w:val="0"/>
          <w:sz w:val="24"/>
          <w:szCs w:val="24"/>
          <w:highlight w:val="none"/>
          <w:u w:val="single"/>
          <w:shd w:val="clear" w:color="auto" w:fill="auto"/>
        </w:rPr>
        <w:t xml:space="preserve">业绩</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w:t>
      </w:r>
      <w:r>
        <w:rPr>
          <w:color w:val="auto"/>
        </w:rPr>
      </w:r>
      <w:r/>
    </w:p>
    <w:p>
      <w:pPr>
        <w:pStyle w:val="869"/>
        <w:ind w:firstLine="480"/>
        <w:jc w:val="both"/>
        <w:spacing w:beforeAutospacing="0" w:afterAutospacing="0" w:line="360" w:lineRule="auto"/>
        <w:rPr>
          <w:rFonts w:hint="default" w:ascii="宋体" w:hAnsi="宋体" w:eastAsia="宋体" w:cs="宋体"/>
          <w:i w:val="0"/>
          <w:iCs w:val="0"/>
          <w:caps w:val="0"/>
          <w:color w:val="auto"/>
          <w:spacing w:val="0"/>
          <w:sz w:val="24"/>
          <w:szCs w:val="24"/>
          <w:highlight w:val="none"/>
          <w:u w:val="single"/>
          <w:shd w:val="clear" w:color="auto" w:fill="auto"/>
        </w:rPr>
      </w:pP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3.4</w:t>
      </w:r>
      <w:r>
        <w:rPr>
          <w:rFonts w:hint="eastAsia" w:ascii="宋体" w:hAnsi="宋体" w:eastAsia="宋体" w:cs="宋体"/>
          <w:i w:val="0"/>
          <w:iCs w:val="0"/>
          <w:caps w:val="0"/>
          <w:color w:val="auto"/>
          <w:spacing w:val="0"/>
          <w:sz w:val="24"/>
          <w:szCs w:val="24"/>
          <w:highlight w:val="none"/>
          <w:u w:val="single"/>
          <w:shd w:val="clear" w:color="auto" w:fill="ffffff"/>
        </w:rPr>
        <w:t xml:space="preserve">本项目</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u w:val="single"/>
          <w:shd w:val="clear" w:color="auto" w:fill="ffffff"/>
        </w:rPr>
        <w:t xml:space="preserve">接受联合体</w:t>
      </w:r>
      <w:r>
        <w:rPr>
          <w:rFonts w:hint="eastAsia" w:ascii="宋体" w:hAnsi="宋体" w:eastAsia="宋体" w:cs="宋体"/>
          <w:color w:val="auto"/>
          <w:sz w:val="24"/>
          <w:szCs w:val="24"/>
          <w:highlight w:val="none"/>
          <w:u w:val="single"/>
        </w:rPr>
        <w:t xml:space="preserve">参与</w:t>
      </w:r>
      <w:r>
        <w:rPr>
          <w:rFonts w:hint="eastAsia" w:ascii="宋体" w:hAnsi="宋体" w:eastAsia="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w:t>
      </w:r>
      <w:r>
        <w:rPr>
          <w:color w:val="auto"/>
        </w:rPr>
      </w:r>
      <w:r/>
    </w:p>
    <w:p>
      <w:pPr>
        <w:pStyle w:val="8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color w:val="auto"/>
        </w:rPr>
      </w:r>
      <w:bookmarkStart w:id="18" w:name="_Toc28359005"/>
      <w:r>
        <w:rPr>
          <w:color w:val="auto"/>
        </w:rPr>
      </w:r>
      <w:bookmarkStart w:id="19" w:name="_Toc38985266"/>
      <w:r>
        <w:rPr>
          <w:color w:val="auto"/>
        </w:rPr>
      </w:r>
      <w:bookmarkStart w:id="20" w:name="_Toc35393793"/>
      <w:r>
        <w:rPr>
          <w:color w:val="auto"/>
        </w:rPr>
      </w:r>
      <w:bookmarkStart w:id="21" w:name="_Toc35393624"/>
      <w:r>
        <w:rPr>
          <w:color w:val="auto"/>
        </w:rPr>
      </w:r>
      <w:bookmarkStart w:id="22" w:name="_Toc28359082"/>
      <w:r>
        <w:rPr>
          <w:rFonts w:hint="eastAsia" w:ascii="宋体" w:hAnsi="宋体" w:eastAsia="宋体" w:cs="宋体"/>
          <w:color w:val="auto"/>
          <w:sz w:val="24"/>
          <w:szCs w:val="24"/>
          <w:highlight w:val="none"/>
          <w:shd w:val="clear" w:color="auto" w:fill="auto"/>
        </w:rPr>
        <w:t xml:space="preserve">1.时间：</w:t>
      </w:r>
      <w:bookmarkEnd w:id="18"/>
      <w:r>
        <w:rPr>
          <w:color w:val="auto"/>
        </w:rPr>
      </w:r>
      <w:bookmarkEnd w:id="19"/>
      <w:r>
        <w:rPr>
          <w:color w:val="auto"/>
        </w:rPr>
      </w:r>
      <w:bookmarkEnd w:id="20"/>
      <w:r>
        <w:rPr>
          <w:color w:val="auto"/>
        </w:rPr>
      </w:r>
      <w:bookmarkEnd w:id="21"/>
      <w:r>
        <w:rPr>
          <w:color w:val="auto"/>
        </w:rPr>
      </w:r>
      <w:bookmarkEnd w:id="22"/>
      <w:r>
        <w:rPr>
          <w:rFonts w:hint="eastAsia" w:ascii="宋体" w:hAnsi="宋体" w:eastAsia="宋体" w:cs="宋体"/>
          <w:color w:val="auto"/>
          <w:sz w:val="24"/>
          <w:szCs w:val="24"/>
          <w:highlight w:val="none"/>
          <w:shd w:val="clear" w:color="auto" w:fill="auto"/>
        </w:rPr>
        <w:t xml:space="preserve">自招标文件公告发布之日起5个工作日 。</w:t>
      </w:r>
      <w:r>
        <w:rPr>
          <w:color w:val="auto"/>
        </w:rPr>
      </w:r>
      <w:r/>
    </w:p>
    <w:p>
      <w:pPr>
        <w:ind w:firstLine="480"/>
        <w:jc w:val="left"/>
        <w:keepLines w:val="0"/>
        <w:keepNext w:val="0"/>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r>
        <w:rPr>
          <w:color w:val="auto"/>
        </w:rPr>
      </w:r>
      <w:r/>
    </w:p>
    <w:p>
      <w:pPr>
        <w:ind w:firstLine="480"/>
        <w:jc w:val="left"/>
        <w:spacing w:line="56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4.售价：0元</w:t>
      </w:r>
      <w:r>
        <w:rPr>
          <w:color w:val="auto"/>
        </w:rPr>
      </w:r>
      <w:r/>
    </w:p>
    <w:p>
      <w:pPr>
        <w:pStyle w:val="8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15时00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u w:val="single"/>
          <w:shd w:val="clear" w:color="auto" w:fill="auto"/>
          <w:lang w:val="en-US" w:eastAsia="zh-CN"/>
        </w:rPr>
        <w:t xml:space="preserve">00秒</w:t>
      </w:r>
      <w:r>
        <w:rPr>
          <w:rFonts w:hint="eastAsia" w:ascii="宋体" w:hAnsi="宋体" w:eastAsia="宋体" w:cs="宋体"/>
          <w:color w:val="auto"/>
          <w:sz w:val="24"/>
          <w:szCs w:val="24"/>
          <w:highlight w:val="none"/>
          <w:u w:val="single"/>
          <w:shd w:val="clear" w:color="auto" w:fill="auto"/>
        </w:rPr>
        <w:t xml:space="preserve">（北京时间）</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 xml:space="preserve">。</w:t>
      </w:r>
      <w:r>
        <w:rPr>
          <w:color w:val="auto"/>
        </w:rPr>
      </w:r>
      <w:r/>
    </w:p>
    <w:p>
      <w:pPr>
        <w:pStyle w:val="8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23" w:name="_Toc38985267"/>
      <w:r>
        <w:rPr>
          <w:color w:val="auto"/>
        </w:rPr>
      </w:r>
      <w:bookmarkStart w:id="24" w:name="_Toc35393794"/>
      <w:r>
        <w:rPr>
          <w:color w:val="auto"/>
        </w:rPr>
      </w:r>
      <w:bookmarkStart w:id="25" w:name="_Toc28359007"/>
      <w:r>
        <w:rPr>
          <w:color w:val="auto"/>
        </w:rPr>
      </w:r>
      <w:bookmarkStart w:id="26" w:name="_Toc35393625"/>
      <w:r>
        <w:rPr>
          <w:color w:val="auto"/>
        </w:rPr>
      </w:r>
      <w:bookmarkStart w:id="27" w:name="_Toc28359084"/>
      <w:r>
        <w:rPr>
          <w:rFonts w:hint="eastAsia" w:ascii="宋体" w:hAnsi="宋体" w:eastAsia="宋体" w:cs="宋体"/>
          <w:b/>
          <w:color w:val="auto"/>
          <w:sz w:val="24"/>
          <w:szCs w:val="24"/>
          <w:highlight w:val="none"/>
        </w:rPr>
        <w:t xml:space="preserve">五、公告期限</w:t>
      </w:r>
      <w:bookmarkEnd w:id="23"/>
      <w:r>
        <w:rPr>
          <w:color w:val="auto"/>
        </w:rPr>
      </w:r>
      <w:bookmarkEnd w:id="24"/>
      <w:r>
        <w:rPr>
          <w:color w:val="auto"/>
        </w:rPr>
      </w:r>
      <w:bookmarkEnd w:id="25"/>
      <w:r>
        <w:rPr>
          <w:color w:val="auto"/>
        </w:rPr>
      </w:r>
      <w:bookmarkEnd w:id="26"/>
      <w:r>
        <w:rPr>
          <w:color w:val="auto"/>
        </w:rPr>
      </w:r>
      <w:bookmarkEnd w:id="27"/>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color w:val="auto"/>
        </w:rPr>
      </w:r>
      <w:bookmarkStart w:id="28" w:name="_Toc35393626"/>
      <w:r>
        <w:rPr>
          <w:color w:val="auto"/>
        </w:rPr>
      </w:r>
      <w:bookmarkStart w:id="29" w:name="_Toc38985268"/>
      <w:r>
        <w:rPr>
          <w:color w:val="auto"/>
        </w:rPr>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rPr>
          <w:color w:val="auto"/>
        </w:rPr>
      </w:r>
      <w:bookmarkEnd w:id="29"/>
      <w:r>
        <w:rPr>
          <w:color w:val="auto"/>
        </w:rPr>
      </w:r>
      <w:bookmarkEnd w:id="30"/>
      <w:r>
        <w:rPr>
          <w:color w:val="auto"/>
        </w:rPr>
      </w:r>
      <w:r/>
    </w:p>
    <w:p>
      <w:pPr>
        <w:pStyle w:val="8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color w:val="auto"/>
        </w:r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rPr>
          <w:color w:val="auto"/>
        </w:rPr>
      </w:r>
      <w:r/>
    </w:p>
    <w:p>
      <w:pPr>
        <w:pStyle w:val="86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rPr>
          <w:color w:val="auto"/>
        </w:rPr>
      </w:r>
      <w:r/>
    </w:p>
    <w:p>
      <w:pPr>
        <w:ind w:firstLine="48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rPr>
          <w:color w:val="auto"/>
        </w:rPr>
      </w:r>
      <w:r/>
    </w:p>
    <w:p>
      <w:pPr>
        <w:pStyle w:val="861"/>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4.付款方式：</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合同签定后10日内支付合同总价的10%作为预付款（中标人须提供合同总价10%的银行保函）；桩基完成付合同价的20%，项目完成并经验收合格后，在第一个农历春节前支付至合同价款的80%；余款待第二个农历春节前凭审计报告付至审计价的100%；采购人在收到发票后 10 个工作日内支付到合同约定的中标人银行账户。</w:t>
      </w:r>
      <w:r>
        <w:rPr>
          <w:color w:val="auto"/>
        </w:rPr>
      </w:r>
      <w:r/>
    </w:p>
    <w:p>
      <w:pPr>
        <w:pStyle w:val="861"/>
        <w:numPr>
          <w:ilvl w:val="0"/>
          <w:numId w:val="2"/>
        </w:numPr>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本项目采用</w:t>
      </w:r>
      <w:r>
        <w:rPr>
          <w:rFonts w:hint="eastAsia" w:cs="宋体"/>
          <w:i w:val="0"/>
          <w:iCs w:val="0"/>
          <w:caps w:val="0"/>
          <w:color w:val="auto"/>
          <w:spacing w:val="0"/>
          <w:sz w:val="24"/>
          <w:szCs w:val="24"/>
          <w:highlight w:val="none"/>
          <w:u w:val="single"/>
          <w:shd w:val="clear" w:color="auto" w:fill="ffffff"/>
          <w:lang w:val="en-US" w:eastAsia="zh-CN"/>
        </w:rPr>
        <w:t xml:space="preserve">最低价</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法</w:t>
      </w:r>
      <w:r>
        <w:rPr>
          <w:rFonts w:hint="eastAsia" w:cs="宋体"/>
          <w:i w:val="0"/>
          <w:iCs w:val="0"/>
          <w:caps w:val="0"/>
          <w:color w:val="auto"/>
          <w:spacing w:val="0"/>
          <w:sz w:val="24"/>
          <w:szCs w:val="24"/>
          <w:highlight w:val="none"/>
          <w:u w:val="single"/>
          <w:shd w:val="clear" w:color="auto" w:fill="ffffff"/>
          <w:lang w:val="en-US" w:eastAsia="zh-CN"/>
        </w:rPr>
        <w:t xml:space="preserve">确定中标候选人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，详见</w:t>
      </w:r>
      <w:r>
        <w:rPr>
          <w:rFonts w:hint="eastAsia"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第五章。</w:t>
      </w:r>
      <w:bookmarkEnd w:id="31"/>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七、对本次招标提出询问，请按以下方式联系。</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1.采购人信息</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称：滨海县城市管理局  </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址：滨海县港城路广电网络信息技术大楼主楼 19-20 层  </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 系 人：吕先生        刘先生</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联系电话：15195170908   15251041261           </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2.采购代理机构信息</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称：盐城市智强项目管理有限公司</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址：滨海县政务服务中心二楼G区2202室</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 系 人：高先生                     </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联系方式：15950201008                   </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3.项目联系方式</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项目联系人：刘先生</w:t>
      </w:r>
      <w:r>
        <w:rPr>
          <w:color w:val="auto"/>
        </w:rPr>
      </w:r>
      <w:r/>
    </w:p>
    <w:p>
      <w:pPr>
        <w:pStyle w:val="86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电　　  话：15251041261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2" w:name="_Toc120614211"/>
      <w:r>
        <w:rPr>
          <w:color w:val="auto"/>
        </w:rPr>
      </w:r>
      <w:r/>
    </w:p>
    <w:p>
      <w:pPr>
        <w:pStyle w:val="869"/>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2"/>
      <w:r>
        <w:rPr>
          <w:color w:val="auto"/>
        </w:rPr>
      </w:r>
      <w:bookmarkStart w:id="33" w:name="_Toc513029202"/>
      <w:r>
        <w:rPr>
          <w:color w:val="auto"/>
        </w:rPr>
      </w:r>
      <w:bookmarkStart w:id="34" w:name="_Toc16938518"/>
      <w:r>
        <w:rPr>
          <w:color w:val="auto"/>
        </w:rPr>
      </w:r>
      <w:bookmarkStart w:id="35" w:name="_Toc120614213"/>
      <w:r>
        <w:rPr>
          <w:color w:val="auto"/>
        </w:rPr>
      </w:r>
      <w:bookmarkStart w:id="36" w:name="_Toc20823274"/>
      <w:r>
        <w:rPr>
          <w:rFonts w:hint="eastAsia" w:ascii="黑体" w:hAnsi="宋体" w:eastAsia="黑体" w:cs="黑体"/>
          <w:b/>
          <w:color w:val="auto"/>
          <w:sz w:val="44"/>
          <w:szCs w:val="44"/>
          <w:highlight w:val="none"/>
        </w:rPr>
        <w:t xml:space="preserve">投标人须知</w:t>
      </w:r>
      <w:bookmarkEnd w:id="33"/>
      <w:r>
        <w:rPr>
          <w:color w:val="auto"/>
        </w:rPr>
      </w:r>
      <w:bookmarkEnd w:id="34"/>
      <w:r>
        <w:rPr>
          <w:color w:val="auto"/>
        </w:rPr>
      </w:r>
      <w:bookmarkEnd w:id="35"/>
      <w:r>
        <w:rPr>
          <w:color w:val="auto"/>
        </w:rPr>
      </w:r>
      <w:bookmarkEnd w:id="36"/>
      <w:r>
        <w:rPr>
          <w:color w:val="auto"/>
        </w:rPr>
      </w:r>
      <w:r/>
    </w:p>
    <w:p>
      <w:pPr>
        <w:pStyle w:val="8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37" w:name="_Toc16938519"/>
      <w:r>
        <w:rPr>
          <w:color w:val="auto"/>
        </w:rPr>
      </w:r>
      <w:bookmarkStart w:id="38" w:name="_Toc120614214"/>
      <w:r>
        <w:rPr>
          <w:color w:val="auto"/>
        </w:rPr>
      </w:r>
      <w:bookmarkStart w:id="39" w:name="_Toc20823275"/>
      <w:r>
        <w:rPr>
          <w:color w:val="auto"/>
        </w:rPr>
      </w:r>
      <w:bookmarkStart w:id="40" w:name="_Toc513029203"/>
      <w:r>
        <w:rPr>
          <w:rFonts w:hint="eastAsia" w:ascii="宋体" w:hAnsi="宋体" w:eastAsia="宋体" w:cs="宋体"/>
          <w:b/>
          <w:color w:val="auto"/>
          <w:sz w:val="24"/>
          <w:szCs w:val="24"/>
          <w:highlight w:val="none"/>
        </w:rPr>
        <w:t xml:space="preserve">一、总则</w:t>
      </w:r>
      <w:bookmarkEnd w:id="37"/>
      <w:r>
        <w:rPr>
          <w:color w:val="auto"/>
        </w:rPr>
      </w:r>
      <w:bookmarkEnd w:id="38"/>
      <w:r>
        <w:rPr>
          <w:color w:val="auto"/>
        </w:rPr>
      </w:r>
      <w:bookmarkEnd w:id="39"/>
      <w:r>
        <w:rPr>
          <w:color w:val="auto"/>
        </w:rPr>
      </w:r>
      <w:bookmarkEnd w:id="40"/>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41" w:name="_Toc20823276"/>
      <w:r>
        <w:rPr>
          <w:color w:val="auto"/>
        </w:rPr>
      </w:r>
      <w:bookmarkStart w:id="42" w:name="_Toc513029204"/>
      <w:r>
        <w:rPr>
          <w:color w:val="auto"/>
        </w:rPr>
      </w:r>
      <w:bookmarkStart w:id="43" w:name="_Toc458694821"/>
      <w:r>
        <w:rPr>
          <w:color w:val="auto"/>
        </w:rPr>
      </w:r>
      <w:bookmarkStart w:id="44" w:name="_Toc16938520"/>
      <w:r>
        <w:rPr>
          <w:color w:val="auto"/>
        </w:rPr>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rPr>
          <w:color w:val="auto"/>
        </w:rPr>
      </w:r>
      <w:bookmarkEnd w:id="43"/>
      <w:r>
        <w:rPr>
          <w:color w:val="auto"/>
        </w:rPr>
      </w:r>
      <w:bookmarkEnd w:id="44"/>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46" w:name="_Toc16938521"/>
      <w:r>
        <w:rPr>
          <w:color w:val="auto"/>
        </w:rPr>
      </w:r>
      <w:bookmarkStart w:id="47" w:name="_Toc513029205"/>
      <w:r>
        <w:rPr>
          <w:color w:val="auto"/>
        </w:rPr>
      </w:r>
      <w:bookmarkStart w:id="48" w:name="_Toc20823277"/>
      <w:r>
        <w:rPr>
          <w:rFonts w:hint="eastAsia" w:ascii="宋体" w:hAnsi="宋体" w:eastAsia="宋体" w:cs="宋体"/>
          <w:color w:val="auto"/>
          <w:sz w:val="24"/>
          <w:szCs w:val="24"/>
          <w:highlight w:val="none"/>
        </w:rPr>
        <w:t xml:space="preserve">2、合格的投标人</w:t>
      </w:r>
      <w:bookmarkEnd w:id="46"/>
      <w:r>
        <w:rPr>
          <w:color w:val="auto"/>
        </w:rPr>
      </w:r>
      <w:bookmarkEnd w:id="47"/>
      <w:r>
        <w:rPr>
          <w:color w:val="auto"/>
        </w:rPr>
      </w:r>
      <w:bookmarkEnd w:id="48"/>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49" w:name="_Toc20823278"/>
      <w:r>
        <w:rPr>
          <w:color w:val="auto"/>
        </w:rPr>
      </w:r>
      <w:bookmarkStart w:id="50" w:name="_Toc513029206"/>
      <w:r>
        <w:rPr>
          <w:color w:val="auto"/>
        </w:rPr>
      </w:r>
      <w:bookmarkStart w:id="51" w:name="_Toc16938522"/>
      <w:r>
        <w:rPr>
          <w:rFonts w:hint="eastAsia" w:ascii="宋体" w:hAnsi="宋体" w:eastAsia="宋体" w:cs="宋体"/>
          <w:color w:val="auto"/>
          <w:sz w:val="24"/>
          <w:szCs w:val="24"/>
          <w:highlight w:val="none"/>
        </w:rPr>
        <w:t xml:space="preserve">3、适用法律</w:t>
      </w:r>
      <w:bookmarkEnd w:id="49"/>
      <w:r>
        <w:rPr>
          <w:color w:val="auto"/>
        </w:rPr>
      </w:r>
      <w:bookmarkEnd w:id="50"/>
      <w:r>
        <w:rPr>
          <w:color w:val="auto"/>
        </w:rPr>
      </w:r>
      <w:bookmarkEnd w:id="51"/>
      <w:r>
        <w:rPr>
          <w:color w:val="auto"/>
        </w:rPr>
      </w:r>
      <w:r/>
    </w:p>
    <w:p>
      <w:pPr>
        <w:pStyle w:val="869"/>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52" w:name="_Toc16938523"/>
      <w:r>
        <w:rPr>
          <w:color w:val="auto"/>
        </w:rPr>
      </w:r>
      <w:bookmarkStart w:id="53" w:name="_Toc513029207"/>
      <w:r>
        <w:rPr>
          <w:color w:val="auto"/>
        </w:rPr>
      </w:r>
      <w:bookmarkStart w:id="54" w:name="_Toc20823279"/>
      <w:r>
        <w:rPr>
          <w:color w:val="auto"/>
        </w:rPr>
      </w:r>
      <w:bookmarkStart w:id="55" w:name="_Toc462564067"/>
      <w:r>
        <w:rPr>
          <w:rFonts w:hint="eastAsia" w:ascii="宋体" w:hAnsi="宋体" w:eastAsia="宋体" w:cs="宋体"/>
          <w:color w:val="auto"/>
          <w:sz w:val="24"/>
          <w:szCs w:val="24"/>
          <w:highlight w:val="none"/>
        </w:rPr>
        <w:t xml:space="preserve">4、投标费用</w:t>
      </w:r>
      <w:bookmarkEnd w:id="52"/>
      <w:r>
        <w:rPr>
          <w:color w:val="auto"/>
        </w:rPr>
      </w:r>
      <w:bookmarkEnd w:id="53"/>
      <w:r>
        <w:rPr>
          <w:color w:val="auto"/>
        </w:rPr>
      </w:r>
      <w:bookmarkEnd w:id="54"/>
      <w:r>
        <w:rPr>
          <w:color w:val="auto"/>
        </w:rPr>
      </w:r>
      <w:bookmarkEnd w:id="55"/>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rPr>
        <w:t xml:space="preserve">在任何情况下均无义务和责任承担这些费用。</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4.2本项目招标代理服务费依据《江苏省政府采购代理服务收费指导意见》的通知（苏政采〔2024〕20号）执行，招标人约定由中标人代招标人向招标代理机构一次性支付招标代理服务费人民币</w:t>
      </w:r>
      <w:r>
        <w:rPr>
          <w:rFonts w:hint="eastAsia" w:ascii="宋体" w:hAnsi="宋体" w:eastAsia="宋体" w:cs="宋体"/>
          <w:color w:val="auto"/>
          <w:sz w:val="24"/>
          <w:szCs w:val="24"/>
          <w:highlight w:val="none"/>
          <w:u w:val="single"/>
          <w:lang w:val="en-US" w:eastAsia="zh-CN"/>
        </w:rPr>
        <w:t xml:space="preserve">7000</w:t>
      </w:r>
      <w:r>
        <w:rPr>
          <w:rFonts w:hint="eastAsia" w:ascii="宋体" w:hAnsi="宋体" w:eastAsia="宋体" w:cs="宋体"/>
          <w:color w:val="auto"/>
          <w:sz w:val="24"/>
          <w:szCs w:val="24"/>
          <w:highlight w:val="none"/>
        </w:rPr>
        <w:t xml:space="preserve">元，投标人须将此费用纳入投标报价中，招标人不另行支付。</w:t>
      </w:r>
      <w:r>
        <w:rPr>
          <w:color w:val="auto"/>
        </w:rPr>
      </w:r>
      <w:r/>
    </w:p>
    <w:p>
      <w:pPr>
        <w:pStyle w:val="869"/>
        <w:ind w:firstLine="602"/>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rPr>
          <w:color w:val="auto"/>
        </w:rPr>
      </w:r>
      <w:r/>
    </w:p>
    <w:p>
      <w:pPr>
        <w:pStyle w:val="869"/>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56" w:name="_Toc20823281"/>
      <w:r>
        <w:rPr>
          <w:color w:val="auto"/>
        </w:rPr>
      </w:r>
      <w:bookmarkStart w:id="57" w:name="_Toc120614215"/>
      <w:r>
        <w:rPr>
          <w:color w:val="auto"/>
        </w:rPr>
      </w:r>
      <w:bookmarkStart w:id="58" w:name="_Toc16938525"/>
      <w:r>
        <w:rPr>
          <w:color w:val="auto"/>
        </w:rPr>
      </w:r>
      <w:bookmarkStart w:id="59" w:name="_Toc513029209"/>
      <w:r>
        <w:rPr>
          <w:rFonts w:hint="eastAsia" w:ascii="宋体" w:hAnsi="宋体" w:eastAsia="宋体" w:cs="宋体"/>
          <w:b/>
          <w:color w:val="auto"/>
          <w:sz w:val="24"/>
          <w:szCs w:val="24"/>
          <w:highlight w:val="none"/>
        </w:rPr>
        <w:t xml:space="preserve">二、招标文件</w:t>
      </w:r>
      <w:bookmarkEnd w:id="56"/>
      <w:r>
        <w:rPr>
          <w:color w:val="auto"/>
        </w:rPr>
      </w:r>
      <w:bookmarkEnd w:id="57"/>
      <w:r>
        <w:rPr>
          <w:color w:val="auto"/>
        </w:rPr>
      </w:r>
      <w:bookmarkEnd w:id="58"/>
      <w:r>
        <w:rPr>
          <w:color w:val="auto"/>
        </w:rPr>
      </w:r>
      <w:bookmarkEnd w:id="59"/>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60" w:name="_Toc16938526"/>
      <w:r>
        <w:rPr>
          <w:color w:val="auto"/>
        </w:rPr>
      </w:r>
      <w:bookmarkStart w:id="61" w:name="_Toc513029210"/>
      <w:r>
        <w:rPr>
          <w:color w:val="auto"/>
        </w:rPr>
      </w:r>
      <w:bookmarkStart w:id="62" w:name="_Toc20823282"/>
      <w:r>
        <w:rPr>
          <w:rFonts w:hint="eastAsia" w:ascii="宋体" w:hAnsi="宋体" w:eastAsia="宋体" w:cs="宋体"/>
          <w:color w:val="auto"/>
          <w:sz w:val="24"/>
          <w:szCs w:val="24"/>
          <w:highlight w:val="none"/>
        </w:rPr>
        <w:t xml:space="preserve">6、招标文件构成</w:t>
      </w:r>
      <w:bookmarkEnd w:id="60"/>
      <w:r>
        <w:rPr>
          <w:color w:val="auto"/>
        </w:rPr>
      </w:r>
      <w:bookmarkEnd w:id="61"/>
      <w:r>
        <w:rPr>
          <w:color w:val="auto"/>
        </w:rPr>
      </w:r>
      <w:bookmarkEnd w:id="62"/>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rPr>
          <w:color w:val="auto"/>
        </w:rPr>
      </w:r>
      <w:r/>
    </w:p>
    <w:p>
      <w:pPr>
        <w:pStyle w:val="869"/>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rPr>
          <w:color w:val="auto"/>
        </w:rPr>
      </w:r>
      <w:r/>
    </w:p>
    <w:p>
      <w:pPr>
        <w:pStyle w:val="869"/>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rPr>
          <w:color w:val="auto"/>
        </w:rPr>
      </w:r>
      <w:r/>
    </w:p>
    <w:p>
      <w:pPr>
        <w:pStyle w:val="869"/>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rPr>
          <w:color w:val="auto"/>
        </w:rPr>
      </w:r>
      <w:r/>
    </w:p>
    <w:p>
      <w:pPr>
        <w:pStyle w:val="869"/>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rPr>
          <w:color w:val="auto"/>
        </w:rPr>
      </w:r>
      <w:r/>
    </w:p>
    <w:p>
      <w:pPr>
        <w:pStyle w:val="869"/>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rPr>
          <w:color w:val="auto"/>
        </w:rPr>
      </w:r>
      <w:r/>
    </w:p>
    <w:p>
      <w:pPr>
        <w:pStyle w:val="869"/>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请仔细检查招标文件是否齐全，如有缺漏请立即与采购人或代理机构联系解决。</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pStyle w:val="869"/>
        <w:ind w:firstLine="56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63" w:name="_Toc16938527"/>
      <w:r>
        <w:rPr>
          <w:color w:val="auto"/>
        </w:rPr>
      </w:r>
      <w:bookmarkStart w:id="64" w:name="_Toc20823283"/>
      <w:r>
        <w:rPr>
          <w:color w:val="auto"/>
        </w:rPr>
      </w:r>
      <w:bookmarkStart w:id="65" w:name="_Toc462564070"/>
      <w:r>
        <w:rPr>
          <w:color w:val="auto"/>
        </w:rPr>
      </w:r>
      <w:bookmarkStart w:id="66" w:name="_Toc513029211"/>
      <w:r>
        <w:rPr>
          <w:rFonts w:hint="eastAsia" w:ascii="宋体" w:hAnsi="宋体" w:eastAsia="宋体" w:cs="宋体"/>
          <w:color w:val="auto"/>
          <w:sz w:val="24"/>
          <w:szCs w:val="24"/>
          <w:highlight w:val="none"/>
        </w:rPr>
        <w:t xml:space="preserve">7、招标文件的澄清</w:t>
      </w:r>
      <w:bookmarkEnd w:id="63"/>
      <w:r>
        <w:rPr>
          <w:color w:val="auto"/>
        </w:rPr>
      </w:r>
      <w:bookmarkEnd w:id="64"/>
      <w:r>
        <w:rPr>
          <w:color w:val="auto"/>
        </w:rPr>
      </w:r>
      <w:bookmarkEnd w:id="65"/>
      <w:r>
        <w:rPr>
          <w:color w:val="auto"/>
        </w:rPr>
      </w:r>
      <w:bookmarkEnd w:id="66"/>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rPr>
          <w:color w:val="auto"/>
        </w:rPr>
      </w:r>
      <w:r/>
    </w:p>
    <w:p>
      <w:pPr>
        <w:pStyle w:val="869"/>
        <w:ind w:firstLine="56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67" w:name="_Toc20823284"/>
      <w:r>
        <w:rPr>
          <w:color w:val="auto"/>
        </w:rPr>
      </w:r>
      <w:bookmarkStart w:id="68" w:name="_Toc16938528"/>
      <w:r>
        <w:rPr>
          <w:color w:val="auto"/>
        </w:rPr>
      </w:r>
      <w:bookmarkStart w:id="69" w:name="_Toc513029212"/>
      <w:r>
        <w:rPr>
          <w:color w:val="auto"/>
        </w:rPr>
      </w:r>
      <w:bookmarkStart w:id="70" w:name="_Toc462564071"/>
      <w:r>
        <w:rPr>
          <w:rFonts w:hint="eastAsia" w:ascii="宋体" w:hAnsi="宋体" w:eastAsia="宋体" w:cs="宋体"/>
          <w:color w:val="auto"/>
          <w:sz w:val="24"/>
          <w:szCs w:val="24"/>
          <w:highlight w:val="none"/>
        </w:rPr>
        <w:t xml:space="preserve">8、招标文件的修改</w:t>
      </w:r>
      <w:bookmarkEnd w:id="67"/>
      <w:r>
        <w:rPr>
          <w:color w:val="auto"/>
        </w:rPr>
      </w:r>
      <w:bookmarkEnd w:id="68"/>
      <w:r>
        <w:rPr>
          <w:color w:val="auto"/>
        </w:rPr>
      </w:r>
      <w:bookmarkEnd w:id="69"/>
      <w:r>
        <w:rPr>
          <w:color w:val="auto"/>
        </w:rPr>
      </w:r>
      <w:bookmarkEnd w:id="70"/>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在投标截止时间前，采购中心可以对招标文件进行修改。</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采购中心有权按照法定的要求推迟投标截止日期和开标日期。</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rPr>
          <w:color w:val="auto"/>
        </w:rPr>
      </w:r>
      <w:r/>
    </w:p>
    <w:p>
      <w:pPr>
        <w:pStyle w:val="869"/>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71" w:name="_Toc513029213"/>
      <w:r>
        <w:rPr>
          <w:color w:val="auto"/>
        </w:rPr>
      </w:r>
      <w:bookmarkStart w:id="72" w:name="_Toc120614216"/>
      <w:r>
        <w:rPr>
          <w:color w:val="auto"/>
        </w:rPr>
      </w:r>
      <w:bookmarkStart w:id="73" w:name="_Toc20823285"/>
      <w:r>
        <w:rPr>
          <w:color w:val="auto"/>
        </w:rPr>
      </w:r>
      <w:bookmarkStart w:id="74" w:name="_Toc16938529"/>
      <w:r>
        <w:rPr>
          <w:color w:val="auto"/>
        </w:rPr>
      </w:r>
      <w:bookmarkStart w:id="75" w:name="_Toc462564072"/>
      <w:r>
        <w:rPr>
          <w:rFonts w:hint="eastAsia" w:ascii="宋体" w:hAnsi="宋体" w:eastAsia="宋体" w:cs="宋体"/>
          <w:b/>
          <w:color w:val="auto"/>
          <w:sz w:val="24"/>
          <w:szCs w:val="24"/>
          <w:highlight w:val="none"/>
        </w:rPr>
        <w:t xml:space="preserve">三、投标文件的编制</w:t>
      </w:r>
      <w:bookmarkEnd w:id="71"/>
      <w:r>
        <w:rPr>
          <w:color w:val="auto"/>
        </w:rPr>
      </w:r>
      <w:bookmarkEnd w:id="72"/>
      <w:r>
        <w:rPr>
          <w:color w:val="auto"/>
        </w:rPr>
      </w:r>
      <w:bookmarkEnd w:id="73"/>
      <w:r>
        <w:rPr>
          <w:color w:val="auto"/>
        </w:rPr>
      </w:r>
      <w:bookmarkEnd w:id="74"/>
      <w:r>
        <w:rPr>
          <w:color w:val="auto"/>
        </w:rPr>
      </w:r>
      <w:bookmarkEnd w:id="75"/>
      <w:r>
        <w:rPr>
          <w:color w:val="auto"/>
        </w:rPr>
      </w:r>
      <w:r/>
    </w:p>
    <w:p>
      <w:pPr>
        <w:pStyle w:val="869"/>
        <w:ind w:firstLine="56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76" w:name="_Toc20823286"/>
      <w:r>
        <w:rPr>
          <w:color w:val="auto"/>
        </w:rPr>
      </w:r>
      <w:bookmarkStart w:id="77" w:name="_Toc513029214"/>
      <w:r>
        <w:rPr>
          <w:color w:val="auto"/>
        </w:rPr>
      </w:r>
      <w:bookmarkStart w:id="78" w:name="_Toc462564073"/>
      <w:r>
        <w:rPr>
          <w:color w:val="auto"/>
        </w:rPr>
      </w:r>
      <w:bookmarkStart w:id="79" w:name="_Toc16938530"/>
      <w:r>
        <w:rPr>
          <w:rFonts w:hint="eastAsia" w:ascii="宋体" w:hAnsi="宋体" w:eastAsia="宋体" w:cs="宋体"/>
          <w:color w:val="auto"/>
          <w:sz w:val="24"/>
          <w:szCs w:val="24"/>
          <w:highlight w:val="none"/>
        </w:rPr>
        <w:t xml:space="preserve">9、投标文件的语言及度量衡单位</w:t>
      </w:r>
      <w:bookmarkEnd w:id="76"/>
      <w:r>
        <w:rPr>
          <w:color w:val="auto"/>
        </w:rPr>
      </w:r>
      <w:bookmarkEnd w:id="77"/>
      <w:r>
        <w:rPr>
          <w:color w:val="auto"/>
        </w:rPr>
      </w:r>
      <w:bookmarkEnd w:id="78"/>
      <w:r>
        <w:rPr>
          <w:color w:val="auto"/>
        </w:rPr>
      </w:r>
      <w:bookmarkEnd w:id="79"/>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投标人提交的投标文件以及投标人与采购人或代理机构就有关投标的所有来往通知、函件和文件均应使用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80" w:name="_Toc20823287"/>
      <w:r>
        <w:rPr>
          <w:color w:val="auto"/>
        </w:rPr>
      </w:r>
      <w:bookmarkStart w:id="81" w:name="_Toc16938531"/>
      <w:r>
        <w:rPr>
          <w:color w:val="auto"/>
        </w:rPr>
      </w:r>
      <w:bookmarkStart w:id="82" w:name="_Toc462564074"/>
      <w:r>
        <w:rPr>
          <w:color w:val="auto"/>
        </w:rPr>
      </w:r>
      <w:bookmarkStart w:id="83" w:name="_Toc513029215"/>
      <w:r>
        <w:rPr>
          <w:rFonts w:hint="eastAsia" w:ascii="宋体" w:hAnsi="宋体" w:eastAsia="宋体" w:cs="宋体"/>
          <w:color w:val="auto"/>
          <w:sz w:val="24"/>
          <w:szCs w:val="24"/>
          <w:highlight w:val="none"/>
        </w:rPr>
        <w:t xml:space="preserve">10、投标文件构成</w:t>
      </w:r>
      <w:bookmarkEnd w:id="80"/>
      <w:r>
        <w:rPr>
          <w:color w:val="auto"/>
        </w:rPr>
      </w:r>
      <w:bookmarkEnd w:id="81"/>
      <w:r>
        <w:rPr>
          <w:color w:val="auto"/>
        </w:rPr>
      </w:r>
      <w:bookmarkEnd w:id="82"/>
      <w:r>
        <w:rPr>
          <w:color w:val="auto"/>
        </w:rPr>
      </w:r>
      <w:bookmarkEnd w:id="83"/>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84" w:name="_Toc14577354"/>
      <w:r>
        <w:rPr>
          <w:color w:val="auto"/>
        </w:rPr>
      </w:r>
      <w:bookmarkStart w:id="85" w:name="_Toc49090509"/>
      <w:r>
        <w:rPr>
          <w:color w:val="auto"/>
        </w:rPr>
      </w:r>
      <w:bookmarkStart w:id="86" w:name="_Toc49090507"/>
      <w:r>
        <w:rPr>
          <w:color w:val="auto"/>
        </w:rPr>
      </w:r>
      <w:bookmarkStart w:id="87" w:name="_Toc14577355"/>
      <w:r>
        <w:rPr>
          <w:color w:val="auto"/>
        </w:rPr>
      </w:r>
      <w:bookmarkStart w:id="88" w:name="_Toc14577357"/>
      <w:r>
        <w:rPr>
          <w:color w:val="auto"/>
        </w:rPr>
      </w:r>
      <w:bookmarkStart w:id="89" w:name="_Toc49090508"/>
      <w:r>
        <w:rPr>
          <w:color w:val="auto"/>
        </w:rPr>
      </w:r>
      <w:bookmarkStart w:id="90" w:name="_Toc513029219"/>
      <w:r>
        <w:rPr>
          <w:color w:val="auto"/>
        </w:rPr>
      </w:r>
      <w:bookmarkStart w:id="91" w:name="_Toc513029216"/>
      <w:r>
        <w:rPr>
          <w:color w:val="auto"/>
        </w:rPr>
      </w:r>
      <w:bookmarkStart w:id="92" w:name="_Hlt26670360"/>
      <w:r>
        <w:rPr>
          <w:color w:val="auto"/>
        </w:rPr>
      </w:r>
      <w:bookmarkStart w:id="93" w:name="_Hlt26954838"/>
      <w:r>
        <w:rPr>
          <w:color w:val="auto"/>
        </w:rPr>
      </w:r>
      <w:bookmarkStart w:id="94" w:name="_Hlt26668975"/>
      <w:r>
        <w:rPr>
          <w:rFonts w:hint="eastAsia" w:ascii="宋体" w:hAnsi="宋体" w:eastAsia="宋体" w:cs="宋体"/>
          <w:color w:val="auto"/>
          <w:sz w:val="24"/>
          <w:szCs w:val="24"/>
          <w:highlight w:val="none"/>
        </w:rPr>
        <w:t xml:space="preserve">11、证明投标人及投标标的符合招标文件规定的文件</w:t>
      </w:r>
      <w:bookmarkEnd w:id="84"/>
      <w:r>
        <w:rPr>
          <w:color w:val="auto"/>
        </w:rPr>
      </w:r>
      <w:bookmarkEnd w:id="85"/>
      <w:r>
        <w:rPr>
          <w:color w:val="auto"/>
        </w:rPr>
      </w:r>
      <w:bookmarkEnd w:id="86"/>
      <w:r>
        <w:rPr>
          <w:color w:val="auto"/>
        </w:rPr>
      </w:r>
      <w:bookmarkEnd w:id="87"/>
      <w:r>
        <w:rPr>
          <w:color w:val="auto"/>
        </w:rPr>
      </w:r>
      <w:bookmarkEnd w:id="88"/>
      <w:r>
        <w:rPr>
          <w:color w:val="auto"/>
        </w:rPr>
      </w:r>
      <w:bookmarkEnd w:id="89"/>
      <w:r>
        <w:rPr>
          <w:color w:val="auto"/>
        </w:rPr>
      </w:r>
      <w:bookmarkEnd w:id="90"/>
      <w:r>
        <w:rPr>
          <w:color w:val="auto"/>
        </w:rPr>
      </w:r>
      <w:bookmarkEnd w:id="91"/>
      <w:r>
        <w:rPr>
          <w:color w:val="auto"/>
        </w:rPr>
      </w:r>
      <w:r/>
    </w:p>
    <w:p>
      <w:pPr>
        <w:pStyle w:val="86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95" w:name="_Hlt26670482"/>
      <w:r>
        <w:rPr>
          <w:color w:val="auto"/>
        </w:rPr>
      </w:r>
      <w:bookmarkStart w:id="96" w:name="_Hlt26954848"/>
      <w:r>
        <w:rPr>
          <w:color w:val="auto"/>
        </w:rPr>
      </w:r>
      <w:bookmarkStart w:id="97" w:name="_Hlt26954731"/>
      <w:r>
        <w:rPr>
          <w:color w:val="auto"/>
        </w:rPr>
      </w:r>
      <w:bookmarkStart w:id="98" w:name="_Hlt26670486"/>
      <w:r>
        <w:rPr>
          <w:color w:val="auto"/>
        </w:rPr>
      </w:r>
      <w:bookmarkStart w:id="99" w:name="_Hlt26954846"/>
      <w:r>
        <w:rPr>
          <w:rFonts w:hint="eastAsia" w:ascii="宋体" w:hAnsi="宋体" w:eastAsia="宋体" w:cs="宋体"/>
          <w:color w:val="auto"/>
          <w:sz w:val="24"/>
          <w:szCs w:val="24"/>
          <w:highlight w:val="none"/>
        </w:rPr>
        <w:t xml:space="preserve">13、技术要求响应及偏离表、商务要求响应及偏离表</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00" w:name="_Toc14577359"/>
      <w:r>
        <w:rPr>
          <w:color w:val="auto"/>
        </w:rPr>
      </w:r>
      <w:bookmarkStart w:id="101" w:name="_Toc49090510"/>
      <w:r>
        <w:rPr>
          <w:rFonts w:hint="eastAsia" w:ascii="宋体" w:hAnsi="宋体" w:eastAsia="宋体" w:cs="宋体"/>
          <w:color w:val="auto"/>
          <w:sz w:val="24"/>
          <w:szCs w:val="24"/>
          <w:highlight w:val="none"/>
        </w:rPr>
        <w:t xml:space="preserve">15、投标函和开标一览表</w:t>
      </w:r>
      <w:bookmarkEnd w:id="100"/>
      <w:r>
        <w:rPr>
          <w:color w:val="auto"/>
        </w:rPr>
      </w:r>
      <w:bookmarkEnd w:id="101"/>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02" w:name="_Toc14577360"/>
      <w:r>
        <w:rPr>
          <w:color w:val="auto"/>
        </w:rPr>
      </w:r>
      <w:bookmarkStart w:id="103" w:name="_Toc49090511"/>
      <w:r>
        <w:rPr>
          <w:rFonts w:hint="eastAsia" w:ascii="宋体" w:hAnsi="宋体" w:eastAsia="宋体" w:cs="宋体"/>
          <w:color w:val="auto"/>
          <w:sz w:val="24"/>
          <w:szCs w:val="24"/>
          <w:highlight w:val="none"/>
        </w:rPr>
        <w:t xml:space="preserve">16、投标有效期</w:t>
      </w:r>
      <w:bookmarkEnd w:id="102"/>
      <w:r>
        <w:rPr>
          <w:color w:val="auto"/>
        </w:rPr>
      </w:r>
      <w:bookmarkEnd w:id="103"/>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或代理机构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color w:val="auto"/>
        </w:rPr>
      </w:r>
      <w:r/>
    </w:p>
    <w:p>
      <w:pPr>
        <w:pStyle w:val="869"/>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104" w:name="_Toc513029224"/>
      <w:r>
        <w:rPr>
          <w:color w:val="auto"/>
        </w:rPr>
      </w:r>
      <w:bookmarkStart w:id="105" w:name="_Toc20823296"/>
      <w:r>
        <w:rPr>
          <w:color w:val="auto"/>
        </w:rPr>
      </w:r>
      <w:bookmarkStart w:id="106" w:name="_Toc120614217"/>
      <w:r>
        <w:rPr>
          <w:color w:val="auto"/>
        </w:rPr>
      </w:r>
      <w:bookmarkStart w:id="107" w:name="_Toc16938540"/>
      <w:r>
        <w:rPr>
          <w:color w:val="auto"/>
        </w:rPr>
      </w:r>
      <w:bookmarkStart w:id="108" w:name="_Hlt26954739"/>
      <w:r>
        <w:rPr>
          <w:color w:val="auto"/>
        </w:rPr>
      </w:r>
      <w:bookmarkStart w:id="109" w:name="_Hlt26954852"/>
      <w:r>
        <w:rPr>
          <w:rFonts w:hint="eastAsia" w:ascii="宋体" w:hAnsi="宋体" w:eastAsia="宋体" w:cs="宋体"/>
          <w:b/>
          <w:color w:val="auto"/>
          <w:sz w:val="24"/>
          <w:szCs w:val="24"/>
          <w:highlight w:val="none"/>
        </w:rPr>
        <w:t xml:space="preserve">四、投标文件的递交</w:t>
      </w:r>
      <w:bookmarkEnd w:id="104"/>
      <w:r>
        <w:rPr>
          <w:color w:val="auto"/>
        </w:rPr>
      </w:r>
      <w:bookmarkEnd w:id="105"/>
      <w:r>
        <w:rPr>
          <w:color w:val="auto"/>
        </w:rPr>
      </w:r>
      <w:bookmarkEnd w:id="106"/>
      <w:r>
        <w:rPr>
          <w:color w:val="auto"/>
        </w:rPr>
      </w:r>
      <w:bookmarkEnd w:id="107"/>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10" w:name="_Toc16938541"/>
      <w:r>
        <w:rPr>
          <w:color w:val="auto"/>
        </w:rPr>
      </w:r>
      <w:bookmarkStart w:id="111" w:name="_Toc20823297"/>
      <w:r>
        <w:rPr>
          <w:color w:val="auto"/>
        </w:rPr>
      </w:r>
      <w:bookmarkStart w:id="112" w:name="_Toc513029225"/>
      <w:r>
        <w:rPr>
          <w:color w:val="auto"/>
        </w:rPr>
      </w:r>
      <w:bookmarkStart w:id="113" w:name="_Toc462564084"/>
      <w:r>
        <w:rPr>
          <w:rFonts w:hint="eastAsia" w:ascii="宋体" w:hAnsi="宋体" w:eastAsia="宋体" w:cs="宋体"/>
          <w:color w:val="auto"/>
          <w:sz w:val="24"/>
          <w:szCs w:val="24"/>
          <w:highlight w:val="none"/>
        </w:rPr>
        <w:t xml:space="preserve">18、电子投标文件</w:t>
      </w:r>
      <w:bookmarkEnd w:id="110"/>
      <w:r>
        <w:rPr>
          <w:color w:val="auto"/>
        </w:rPr>
      </w:r>
      <w:bookmarkEnd w:id="111"/>
      <w:r>
        <w:rPr>
          <w:color w:val="auto"/>
        </w:rPr>
      </w:r>
      <w:bookmarkEnd w:id="112"/>
      <w:r>
        <w:rPr>
          <w:color w:val="auto"/>
        </w:rPr>
      </w:r>
      <w:bookmarkEnd w:id="113"/>
      <w:r>
        <w:rPr>
          <w:rFonts w:hint="eastAsia" w:ascii="宋体" w:hAnsi="宋体" w:eastAsia="宋体" w:cs="宋体"/>
          <w:color w:val="auto"/>
          <w:sz w:val="24"/>
          <w:szCs w:val="24"/>
          <w:highlight w:val="none"/>
        </w:rPr>
        <w:t xml:space="preserve">的递交</w:t>
      </w:r>
      <w:r>
        <w:rPr>
          <w:color w:val="auto"/>
        </w:rPr>
      </w:r>
      <w:r/>
    </w:p>
    <w:p>
      <w:pPr>
        <w:pStyle w:val="869"/>
        <w:ind w:left="52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w:t>
      </w:r>
      <w:r>
        <w:rPr>
          <w:color w:val="auto"/>
        </w:rPr>
      </w:r>
      <w:r/>
    </w:p>
    <w:p>
      <w:pPr>
        <w:pStyle w:val="8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4" w:name="_Toc16938542"/>
      <w:r>
        <w:rPr>
          <w:color w:val="auto"/>
        </w:rPr>
      </w:r>
      <w:bookmarkEnd w:id="114"/>
      <w:r>
        <w:rPr>
          <w:color w:val="auto"/>
        </w:rPr>
      </w:r>
      <w:bookmarkStart w:id="115" w:name="_Toc20823298"/>
      <w:r>
        <w:rPr>
          <w:color w:val="auto"/>
        </w:rPr>
      </w:r>
      <w:bookmarkEnd w:id="115"/>
      <w:r>
        <w:rPr>
          <w:color w:val="auto"/>
        </w:rPr>
      </w:r>
      <w:bookmarkStart w:id="116" w:name="_Toc513029226"/>
      <w:r>
        <w:rPr>
          <w:color w:val="auto"/>
        </w:rPr>
      </w:r>
      <w:r/>
    </w:p>
    <w:p>
      <w:pPr>
        <w:pStyle w:val="869"/>
        <w:ind w:firstLine="420"/>
        <w:jc w:val="both"/>
        <w:keepLines/>
        <w:keepNext/>
        <w:spacing w:before="280" w:beforeAutospacing="0" w:after="290" w:afterAutospacing="0" w:line="37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采购人或代理机构可以按照规定，通过修改招标文件酌情延长投标截止日期，在此情况下，投标人的所有权利和义务以及投标人受制的截止日期均应以延长后新的截止日期为准。</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17" w:name="_Toc513029227"/>
      <w:r>
        <w:rPr>
          <w:color w:val="auto"/>
        </w:rPr>
      </w:r>
      <w:bookmarkStart w:id="118" w:name="_Toc16938543"/>
      <w:r>
        <w:rPr>
          <w:color w:val="auto"/>
        </w:rPr>
      </w:r>
      <w:bookmarkStart w:id="119" w:name="_Toc20823299"/>
      <w:r>
        <w:rPr>
          <w:rFonts w:hint="eastAsia" w:ascii="宋体" w:hAnsi="宋体" w:eastAsia="宋体" w:cs="宋体"/>
          <w:color w:val="auto"/>
          <w:sz w:val="24"/>
          <w:szCs w:val="24"/>
          <w:highlight w:val="none"/>
        </w:rPr>
        <w:t xml:space="preserve">20、投标文件</w:t>
      </w:r>
      <w:bookmarkEnd w:id="117"/>
      <w:r>
        <w:rPr>
          <w:color w:val="auto"/>
        </w:rPr>
      </w:r>
      <w:bookmarkEnd w:id="118"/>
      <w:r>
        <w:rPr>
          <w:color w:val="auto"/>
        </w:rPr>
      </w:r>
      <w:bookmarkEnd w:id="119"/>
      <w:r>
        <w:rPr>
          <w:rFonts w:hint="eastAsia" w:ascii="宋体" w:hAnsi="宋体" w:eastAsia="宋体" w:cs="宋体"/>
          <w:color w:val="auto"/>
          <w:sz w:val="24"/>
          <w:szCs w:val="24"/>
          <w:highlight w:val="none"/>
        </w:rPr>
        <w:t xml:space="preserve">的拒收</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采购人或代理机构拒绝接收在其规定的投标截止时间后上传的任何投标文件。</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20" w:name="_Toc20823300"/>
      <w:r>
        <w:rPr>
          <w:color w:val="auto"/>
        </w:rPr>
      </w:r>
      <w:bookmarkStart w:id="121" w:name="_Toc16938544"/>
      <w:r>
        <w:rPr>
          <w:color w:val="auto"/>
        </w:rPr>
      </w:r>
      <w:bookmarkStart w:id="122" w:name="_Toc513029228"/>
      <w:r>
        <w:rPr>
          <w:rFonts w:hint="eastAsia" w:ascii="宋体" w:hAnsi="宋体" w:eastAsia="宋体" w:cs="宋体"/>
          <w:color w:val="auto"/>
          <w:sz w:val="24"/>
          <w:szCs w:val="24"/>
          <w:highlight w:val="none"/>
        </w:rPr>
        <w:t xml:space="preserve">21、投标文件的撤回和修改</w:t>
      </w:r>
      <w:bookmarkEnd w:id="120"/>
      <w:r>
        <w:rPr>
          <w:color w:val="auto"/>
        </w:rPr>
      </w:r>
      <w:bookmarkEnd w:id="121"/>
      <w:r>
        <w:rPr>
          <w:color w:val="auto"/>
        </w:rPr>
      </w:r>
      <w:bookmarkEnd w:id="122"/>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rPr>
          <w:color w:val="auto"/>
        </w:rPr>
      </w:r>
      <w:r/>
    </w:p>
    <w:p>
      <w:pPr>
        <w:pStyle w:val="869"/>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123" w:name="_Toc20823301"/>
      <w:r>
        <w:rPr>
          <w:color w:val="auto"/>
        </w:rPr>
      </w:r>
      <w:bookmarkStart w:id="124" w:name="_Toc513029229"/>
      <w:r>
        <w:rPr>
          <w:color w:val="auto"/>
        </w:rPr>
      </w:r>
      <w:bookmarkStart w:id="125" w:name="_Toc16938545"/>
      <w:r>
        <w:rPr>
          <w:color w:val="auto"/>
        </w:rPr>
      </w:r>
      <w:bookmarkStart w:id="126" w:name="_Toc120614218"/>
      <w:r>
        <w:rPr>
          <w:rFonts w:hint="eastAsia" w:ascii="宋体" w:hAnsi="宋体" w:eastAsia="宋体" w:cs="宋体"/>
          <w:b/>
          <w:color w:val="auto"/>
          <w:sz w:val="24"/>
          <w:szCs w:val="24"/>
          <w:highlight w:val="none"/>
        </w:rPr>
        <w:t xml:space="preserve">五、开标与评标</w:t>
      </w:r>
      <w:bookmarkEnd w:id="123"/>
      <w:r>
        <w:rPr>
          <w:color w:val="auto"/>
        </w:rPr>
      </w:r>
      <w:bookmarkEnd w:id="124"/>
      <w:r>
        <w:rPr>
          <w:color w:val="auto"/>
        </w:rPr>
      </w:r>
      <w:bookmarkEnd w:id="125"/>
      <w:r>
        <w:rPr>
          <w:color w:val="auto"/>
        </w:rPr>
      </w:r>
      <w:bookmarkEnd w:id="126"/>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27" w:name="_Toc16938546"/>
      <w:r>
        <w:rPr>
          <w:color w:val="auto"/>
        </w:rPr>
      </w:r>
      <w:bookmarkStart w:id="128" w:name="_Toc513029230"/>
      <w:r>
        <w:rPr>
          <w:color w:val="auto"/>
        </w:rPr>
      </w:r>
      <w:bookmarkStart w:id="129" w:name="_Toc20823302"/>
      <w:r>
        <w:rPr>
          <w:rFonts w:hint="eastAsia" w:ascii="宋体" w:hAnsi="宋体" w:eastAsia="宋体" w:cs="宋体"/>
          <w:color w:val="auto"/>
          <w:sz w:val="24"/>
          <w:szCs w:val="24"/>
          <w:highlight w:val="none"/>
        </w:rPr>
        <w:t xml:space="preserve">22、开标</w:t>
      </w:r>
      <w:bookmarkEnd w:id="127"/>
      <w:r>
        <w:rPr>
          <w:color w:val="auto"/>
        </w:rPr>
      </w:r>
      <w:bookmarkEnd w:id="128"/>
      <w:r>
        <w:rPr>
          <w:color w:val="auto"/>
        </w:rPr>
      </w:r>
      <w:bookmarkEnd w:id="129"/>
      <w:r>
        <w:rPr>
          <w:color w:val="auto"/>
        </w:rPr>
      </w:r>
      <w:r/>
    </w:p>
    <w:p>
      <w:pPr>
        <w:pStyle w:val="869"/>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采购人或代理机构将在招标公告中规定的时间和地点组织公开开标。投标人应当按照《操作手册》规定，参加开标活动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22.2开标仪式由采购人或代理机构组织。苏采云系统将自动对项目进行开标，并宣布各投标人名称和投标价格。</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auto"/>
          <w:sz w:val="24"/>
          <w:szCs w:val="24"/>
          <w:highlight w:val="none"/>
        </w:rPr>
        <w:t xml:space="preserve">，视同认可开标结果。</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30" w:name="_Toc16938547"/>
      <w:r>
        <w:rPr>
          <w:color w:val="auto"/>
        </w:rPr>
      </w:r>
      <w:bookmarkStart w:id="131" w:name="_Toc20823303"/>
      <w:r>
        <w:rPr>
          <w:color w:val="auto"/>
        </w:rPr>
      </w:r>
      <w:bookmarkStart w:id="132" w:name="_Toc513029231"/>
      <w:r>
        <w:rPr>
          <w:rFonts w:hint="eastAsia" w:ascii="宋体" w:hAnsi="宋体" w:eastAsia="宋体" w:cs="宋体"/>
          <w:color w:val="auto"/>
          <w:sz w:val="24"/>
          <w:szCs w:val="24"/>
          <w:highlight w:val="none"/>
        </w:rPr>
        <w:t xml:space="preserve">23、评标委员会</w:t>
      </w:r>
      <w:bookmarkEnd w:id="130"/>
      <w:r>
        <w:rPr>
          <w:color w:val="auto"/>
        </w:rPr>
      </w:r>
      <w:bookmarkEnd w:id="131"/>
      <w:r>
        <w:rPr>
          <w:color w:val="auto"/>
        </w:rPr>
      </w:r>
      <w:bookmarkEnd w:id="132"/>
      <w:r>
        <w:rPr>
          <w:color w:val="auto"/>
        </w:rPr>
      </w:r>
      <w:r/>
    </w:p>
    <w:p>
      <w:pPr>
        <w:pStyle w:val="86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开标后，采购人或代理机构将立即组织评标委员会（以下简称评委会）进行评标。</w:t>
      </w:r>
      <w:r>
        <w:rPr>
          <w:color w:val="auto"/>
        </w:rPr>
      </w:r>
      <w:r/>
    </w:p>
    <w:p>
      <w:pPr>
        <w:pStyle w:val="86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rPr>
          <w:color w:val="auto"/>
        </w:rPr>
      </w:r>
      <w:r/>
    </w:p>
    <w:p>
      <w:pPr>
        <w:pStyle w:val="86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24.1凡是与审查、澄清、评价和比较投标的有关资料以及授标建议等，采购人、评委、代理机构均不得向投标人或与评标无关的其他人员透露。</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采购人或代理机构和评标委员会不向未中标的投标人解释未中标原因，也不公布评标过程中的相关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auto"/>
          <w:sz w:val="24"/>
          <w:szCs w:val="24"/>
          <w:highlight w:val="none"/>
        </w:rPr>
        <w:t xml:space="preserve">排序情况。</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33" w:name="_Toc20823304"/>
      <w:r>
        <w:rPr>
          <w:color w:val="auto"/>
        </w:rPr>
      </w:r>
      <w:bookmarkStart w:id="134" w:name="_Toc513029232"/>
      <w:r>
        <w:rPr>
          <w:color w:val="auto"/>
        </w:rPr>
      </w:r>
      <w:bookmarkStart w:id="135" w:name="_Toc16938548"/>
      <w:r>
        <w:rPr>
          <w:rFonts w:hint="eastAsia" w:ascii="宋体" w:hAnsi="宋体" w:eastAsia="宋体" w:cs="宋体"/>
          <w:color w:val="auto"/>
          <w:sz w:val="24"/>
          <w:szCs w:val="24"/>
          <w:highlight w:val="none"/>
        </w:rPr>
        <w:t xml:space="preserve">25．投标文件的澄清</w:t>
      </w:r>
      <w:bookmarkEnd w:id="133"/>
      <w:r>
        <w:rPr>
          <w:color w:val="auto"/>
        </w:rPr>
      </w:r>
      <w:bookmarkEnd w:id="134"/>
      <w:r>
        <w:rPr>
          <w:color w:val="auto"/>
        </w:rPr>
      </w:r>
      <w:bookmarkEnd w:id="135"/>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color w:val="auto"/>
        </w:rPr>
      </w:r>
      <w:bookmarkStart w:id="136" w:name="_Toc513029233"/>
      <w:r>
        <w:rPr>
          <w:color w:val="auto"/>
        </w:rPr>
      </w:r>
      <w:bookmarkStart w:id="137" w:name="_Toc16938549"/>
      <w:r>
        <w:rPr>
          <w:color w:val="auto"/>
        </w:rPr>
      </w:r>
      <w:bookmarkStart w:id="138"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6"/>
      <w:r>
        <w:rPr>
          <w:color w:val="auto"/>
        </w:rPr>
      </w:r>
      <w:bookmarkEnd w:id="137"/>
      <w:r>
        <w:rPr>
          <w:color w:val="auto"/>
        </w:rPr>
      </w:r>
      <w:bookmarkEnd w:id="138"/>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auto"/>
          <w:sz w:val="24"/>
          <w:szCs w:val="24"/>
          <w:highlight w:val="none"/>
        </w:rPr>
        <w:t xml:space="preserve">说明和补正，其风险由投标人自行承担。</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未通过资格审查或符合性审查的投标人，采购人或代理机构将</w:t>
      </w:r>
      <w:r>
        <w:rPr>
          <w:rFonts w:hint="eastAsia" w:ascii="宋体" w:hAnsi="宋体" w:eastAsia="宋体" w:cs="宋体"/>
          <w:color w:val="auto"/>
          <w:sz w:val="24"/>
          <w:szCs w:val="24"/>
          <w:highlight w:val="none"/>
        </w:rPr>
        <w:t xml:space="preserve">在苏采云系统中告知未通过资格审查或符合性审查的原因，评审结束后，采购人或代理机构将不再告知未通过资格审查或符合性审查的原因。</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color w:val="auto"/>
        </w:rPr>
      </w:r>
      <w:bookmarkStart w:id="139" w:name="_Toc20823306"/>
      <w:r>
        <w:rPr>
          <w:color w:val="auto"/>
        </w:rPr>
      </w:r>
      <w:bookmarkStart w:id="140" w:name="_Toc16938550"/>
      <w:r>
        <w:rPr>
          <w:color w:val="auto"/>
        </w:rPr>
      </w:r>
      <w:bookmarkStart w:id="141"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rPr>
          <w:color w:val="auto"/>
        </w:rPr>
      </w:r>
      <w:bookmarkEnd w:id="140"/>
      <w:r>
        <w:rPr>
          <w:color w:val="auto"/>
        </w:rPr>
      </w:r>
      <w:bookmarkEnd w:id="141"/>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r/>
    </w:p>
    <w:p>
      <w:pPr>
        <w:pStyle w:val="869"/>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rPr>
          <w:color w:val="auto"/>
        </w:rPr>
      </w:r>
      <w:r/>
    </w:p>
    <w:p>
      <w:pPr>
        <w:pStyle w:val="869"/>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，及时登录苏采云系统查阅、答复相关信息，并安排专人与采购人或代理机构及评标委员会联系。</w:t>
      </w:r>
      <w:r>
        <w:rPr>
          <w:color w:val="auto"/>
        </w:rPr>
      </w:r>
      <w:r/>
    </w:p>
    <w:p>
      <w:pPr>
        <w:pStyle w:val="869"/>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color w:val="auto"/>
        </w:rPr>
      </w:r>
      <w:bookmarkStart w:id="142" w:name="_Toc513029235"/>
      <w:r>
        <w:rPr>
          <w:color w:val="auto"/>
        </w:rPr>
      </w:r>
      <w:bookmarkStart w:id="143" w:name="_Toc16938551"/>
      <w:r>
        <w:rPr>
          <w:color w:val="auto"/>
        </w:rPr>
      </w:r>
      <w:bookmarkStart w:id="144" w:name="_Toc20823307"/>
      <w:r>
        <w:rPr>
          <w:rFonts w:hint="eastAsia" w:ascii="宋体" w:hAnsi="宋体" w:eastAsia="宋体" w:cs="宋体"/>
          <w:color w:val="auto"/>
          <w:sz w:val="24"/>
          <w:szCs w:val="24"/>
          <w:highlight w:val="none"/>
        </w:rPr>
        <w:t xml:space="preserve">27.1无效投标条款</w:t>
      </w:r>
      <w:bookmarkEnd w:id="142"/>
      <w:r>
        <w:rPr>
          <w:color w:val="auto"/>
        </w:rPr>
      </w:r>
      <w:bookmarkEnd w:id="143"/>
      <w:r>
        <w:rPr>
          <w:color w:val="auto"/>
        </w:rPr>
      </w:r>
      <w:bookmarkEnd w:id="144"/>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rPr>
          <w:color w:val="auto"/>
        </w:rPr>
      </w:r>
      <w:r/>
    </w:p>
    <w:p>
      <w:pPr>
        <w:pStyle w:val="869"/>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1.投标报价低于采购项目预算50%的，即投标报价&lt;采购项目预算×50%；</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2.投标报价低于采购项目最高限价45%的，即投标报价&lt;采购项目最高限价×45%；</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3.评标委员会认定的供应商报价过低、有可能影响产品质量或者不能诚信履约的其他情形。</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rPr>
          <w:color w:val="auto"/>
        </w:rPr>
      </w:r>
      <w:r/>
    </w:p>
    <w:p>
      <w:pPr>
        <w:pStyle w:val="86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auto"/>
          <w:sz w:val="24"/>
          <w:szCs w:val="24"/>
          <w:highlight w:val="none"/>
        </w:rPr>
        <w:t xml:space="preserve">在评标期间对招标文件做出实质响应的供应商不足三家情况，按政府采购相关规定执行。</w:t>
      </w:r>
      <w:r>
        <w:rPr>
          <w:color w:val="auto"/>
        </w:rPr>
      </w:r>
      <w:r/>
    </w:p>
    <w:p>
      <w:pPr>
        <w:pStyle w:val="869"/>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145" w:name="_Toc120614219"/>
      <w:r>
        <w:rPr>
          <w:rFonts w:hint="eastAsia" w:ascii="宋体" w:hAnsi="宋体" w:eastAsia="宋体" w:cs="宋体"/>
          <w:b/>
          <w:color w:val="auto"/>
          <w:sz w:val="24"/>
          <w:szCs w:val="24"/>
          <w:highlight w:val="none"/>
        </w:rPr>
        <w:t xml:space="preserve">六、定标</w:t>
      </w:r>
      <w:bookmarkEnd w:id="145"/>
      <w:r>
        <w:rPr>
          <w:color w:val="auto"/>
        </w:rPr>
      </w:r>
      <w:r/>
    </w:p>
    <w:p>
      <w:pPr>
        <w:pStyle w:val="869"/>
        <w:ind w:firstLine="60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46" w:name="_Toc20823310"/>
      <w:r>
        <w:rPr>
          <w:color w:val="auto"/>
        </w:rPr>
      </w:r>
      <w:bookmarkStart w:id="147" w:name="_Toc16938554"/>
      <w:r>
        <w:rPr>
          <w:color w:val="auto"/>
        </w:rPr>
      </w:r>
      <w:bookmarkStart w:id="148" w:name="_Toc513029238"/>
      <w:r>
        <w:rPr>
          <w:rFonts w:hint="eastAsia" w:ascii="宋体" w:hAnsi="宋体" w:eastAsia="宋体" w:cs="宋体"/>
          <w:color w:val="auto"/>
          <w:sz w:val="24"/>
          <w:szCs w:val="24"/>
          <w:highlight w:val="none"/>
        </w:rPr>
        <w:t xml:space="preserve">28、</w:t>
      </w:r>
      <w:bookmarkEnd w:id="146"/>
      <w:r>
        <w:rPr>
          <w:rFonts w:hint="eastAsia" w:ascii="宋体" w:hAnsi="宋体" w:eastAsia="宋体" w:cs="宋体"/>
          <w:color w:val="auto"/>
          <w:sz w:val="24"/>
          <w:szCs w:val="24"/>
          <w:highlight w:val="none"/>
        </w:rPr>
        <w:t xml:space="preserve">确定</w:t>
      </w:r>
      <w:bookmarkEnd w:id="147"/>
      <w:r>
        <w:rPr>
          <w:color w:val="auto"/>
        </w:rPr>
      </w:r>
      <w:bookmarkEnd w:id="148"/>
      <w:r>
        <w:rPr>
          <w:rFonts w:hint="eastAsia" w:ascii="宋体" w:hAnsi="宋体" w:eastAsia="宋体" w:cs="宋体"/>
          <w:color w:val="auto"/>
          <w:sz w:val="24"/>
          <w:szCs w:val="24"/>
          <w:highlight w:val="none"/>
        </w:rPr>
        <w:t xml:space="preserve">中标单位</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代理机构将在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28.4.2向采购人、代理机构行贿或者提供其他不正当利益的。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color w:val="auto"/>
        </w:rPr>
      </w:r>
      <w:bookmarkStart w:id="149" w:name="_Toc200451960"/>
      <w:r>
        <w:rPr>
          <w:rFonts w:hint="eastAsia" w:ascii="宋体" w:hAnsi="宋体" w:eastAsia="宋体" w:cs="宋体"/>
          <w:color w:val="auto"/>
          <w:sz w:val="24"/>
          <w:szCs w:val="24"/>
          <w:highlight w:val="none"/>
        </w:rPr>
        <w:t xml:space="preserve">28.5. 有下列情形之一的，视为投标人串通投标，投标无效：</w:t>
      </w:r>
      <w:bookmarkEnd w:id="149"/>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rPr>
          <w:color w:val="auto"/>
        </w:rPr>
      </w:r>
      <w:r/>
    </w:p>
    <w:p>
      <w:pPr>
        <w:pStyle w:val="869"/>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及采购人只接收以纸质原件形式送达的质疑,采购人和代理机构不接受未填写快递运单的快件。质疑接收部门盐城市智强项目管理有限公司，联系地址：滨海县政务服务中心二楼G区2202室，联系电话：15950201008。</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rPr>
          <w:color w:val="auto"/>
        </w:rPr>
      </w:r>
      <w:r/>
    </w:p>
    <w:p>
      <w:pPr>
        <w:pStyle w:val="869"/>
        <w:ind w:firstLine="468"/>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auto"/>
        </w:rPr>
      </w:r>
      <w:r/>
    </w:p>
    <w:p>
      <w:pPr>
        <w:pStyle w:val="869"/>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rPr>
          <w:color w:val="auto"/>
        </w:rPr>
      </w:r>
      <w:r/>
    </w:p>
    <w:p>
      <w:pPr>
        <w:pStyle w:val="869"/>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中标结果确定后，采购人或代理机构将向中标人发出中标通知书。请中标人在中标结果公告届满之日起30日内,使用CA数字证书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auto"/>
          <w:sz w:val="24"/>
          <w:szCs w:val="24"/>
          <w:highlight w:val="none"/>
        </w:rPr>
        <w:t xml:space="preserve">标人自行承担。</w:t>
      </w:r>
      <w:r>
        <w:rPr>
          <w:color w:val="auto"/>
        </w:rPr>
      </w:r>
      <w:r/>
    </w:p>
    <w:p>
      <w:pPr>
        <w:pStyle w:val="869"/>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auto"/>
        </w:rPr>
      </w:r>
      <w:r/>
    </w:p>
    <w:p>
      <w:pPr>
        <w:pStyle w:val="869"/>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color w:val="auto"/>
        </w:rPr>
      </w:r>
      <w:bookmarkStart w:id="150" w:name="_Toc16938552"/>
      <w:r>
        <w:rPr>
          <w:color w:val="auto"/>
        </w:rPr>
      </w:r>
      <w:bookmarkStart w:id="151" w:name="_Toc20823308"/>
      <w:r>
        <w:rPr>
          <w:color w:val="auto"/>
        </w:rPr>
      </w:r>
      <w:bookmarkStart w:id="152" w:name="_Toc513029236"/>
      <w:r>
        <w:rPr>
          <w:color w:val="auto"/>
        </w:rPr>
      </w:r>
      <w:bookmarkStart w:id="153" w:name="_Toc120614220"/>
      <w:r>
        <w:rPr>
          <w:rFonts w:hint="eastAsia" w:ascii="宋体" w:hAnsi="宋体" w:eastAsia="宋体" w:cs="宋体"/>
          <w:b/>
          <w:color w:val="auto"/>
          <w:sz w:val="24"/>
          <w:szCs w:val="24"/>
          <w:highlight w:val="none"/>
        </w:rPr>
        <w:t xml:space="preserve">七、授予合同</w:t>
      </w:r>
      <w:bookmarkEnd w:id="150"/>
      <w:r>
        <w:rPr>
          <w:color w:val="auto"/>
        </w:rPr>
      </w:r>
      <w:bookmarkEnd w:id="151"/>
      <w:r>
        <w:rPr>
          <w:color w:val="auto"/>
        </w:rPr>
      </w:r>
      <w:bookmarkEnd w:id="152"/>
      <w:r>
        <w:rPr>
          <w:color w:val="auto"/>
        </w:rPr>
      </w:r>
      <w:bookmarkEnd w:id="153"/>
      <w:r>
        <w:rPr>
          <w:color w:val="auto"/>
        </w:rPr>
      </w:r>
      <w:r/>
    </w:p>
    <w:p>
      <w:pPr>
        <w:pStyle w:val="869"/>
        <w:ind w:firstLine="600"/>
        <w:jc w:val="both"/>
        <w:keepLines/>
        <w:keepNext/>
        <w:spacing w:beforeAutospacing="0" w:afterAutospacing="0"/>
        <w:rPr>
          <w:rFonts w:hint="eastAsia" w:ascii="宋体" w:hAnsi="宋体" w:eastAsia="宋体" w:cs="宋体"/>
          <w:color w:val="auto"/>
          <w:sz w:val="24"/>
          <w:szCs w:val="24"/>
          <w:highlight w:val="none"/>
        </w:rPr>
      </w:pPr>
      <w:r>
        <w:rPr>
          <w:color w:val="auto"/>
        </w:rPr>
      </w:r>
      <w:bookmarkStart w:id="154" w:name="_Toc20823309"/>
      <w:r>
        <w:rPr>
          <w:color w:val="auto"/>
        </w:rPr>
      </w:r>
      <w:bookmarkStart w:id="155" w:name="_Toc513029237"/>
      <w:r>
        <w:rPr>
          <w:color w:val="auto"/>
        </w:rPr>
      </w:r>
      <w:bookmarkStart w:id="156" w:name="_Toc16938553"/>
      <w:r>
        <w:rPr>
          <w:rFonts w:hint="eastAsia" w:ascii="宋体" w:hAnsi="宋体" w:eastAsia="宋体" w:cs="宋体"/>
          <w:color w:val="auto"/>
          <w:sz w:val="24"/>
          <w:szCs w:val="24"/>
          <w:highlight w:val="none"/>
        </w:rPr>
        <w:t xml:space="preserve">31. 签订合同</w:t>
      </w:r>
      <w:bookmarkEnd w:id="154"/>
      <w:r>
        <w:rPr>
          <w:color w:val="auto"/>
        </w:rPr>
      </w:r>
      <w:bookmarkEnd w:id="155"/>
      <w:r>
        <w:rPr>
          <w:color w:val="auto"/>
        </w:rPr>
      </w:r>
      <w:bookmarkEnd w:id="156"/>
      <w:r>
        <w:rPr>
          <w:color w:val="auto"/>
        </w:rPr>
      </w:r>
      <w:r/>
    </w:p>
    <w:p>
      <w:pPr>
        <w:pStyle w:val="869"/>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rPr>
          <w:color w:val="auto"/>
        </w:rPr>
      </w:r>
      <w:r/>
    </w:p>
    <w:p>
      <w:pPr>
        <w:pStyle w:val="869"/>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rPr>
          <w:color w:val="auto"/>
        </w:rPr>
      </w:r>
      <w:r/>
    </w:p>
    <w:p>
      <w:pPr>
        <w:pStyle w:val="869"/>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rPr>
          <w:color w:val="auto"/>
        </w:rPr>
      </w:r>
      <w:r/>
    </w:p>
    <w:p>
      <w:pPr>
        <w:pStyle w:val="869"/>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auto"/>
        </w:rPr>
      </w:r>
      <w:r/>
    </w:p>
    <w:p>
      <w:pPr>
        <w:pStyle w:val="869"/>
        <w:numPr>
          <w:ilvl w:val="0"/>
          <w:numId w:val="0"/>
        </w:numPr>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33.政府采购政策功能落实</w:t>
      </w:r>
      <w:r>
        <w:rPr>
          <w:color w:val="auto"/>
        </w:rPr>
      </w:r>
      <w:r/>
    </w:p>
    <w:p>
      <w:pPr>
        <w:pStyle w:val="869"/>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33.2进口产品</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rPr>
          <w:color w:val="auto"/>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rPr>
          <w:color w:val="auto"/>
        </w:rPr>
      </w:r>
      <w:r/>
    </w:p>
    <w:p>
      <w:pPr>
        <w:pStyle w:val="86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33.4政府采购节能产品、环境标志产品</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33.5绿色包装</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33.6政府采购创新产品</w:t>
      </w:r>
      <w:r>
        <w:rPr>
          <w:color w:val="auto"/>
        </w:rPr>
      </w:r>
      <w:r/>
    </w:p>
    <w:p>
      <w:pPr>
        <w:ind w:left="0" w:right="0" w:firstLine="478"/>
        <w:jc w:val="both"/>
        <w:spacing w:before="0" w:after="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33.7绿色数据中心政策 </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33.8履约保证金政策</w:t>
      </w:r>
      <w:r>
        <w:rPr>
          <w:color w:val="auto"/>
        </w:rPr>
      </w:r>
      <w:r/>
    </w:p>
    <w:p>
      <w:pPr>
        <w:pStyle w:val="876"/>
        <w:ind w:left="0" w:firstLine="56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color w:val="auto"/>
        </w:rPr>
      </w:r>
      <w:r/>
    </w:p>
    <w:p>
      <w:pPr>
        <w:ind w:firstLine="482"/>
        <w:spacing w:line="48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34. 预付款制度：本项目落实预付款制度，预付款比例为</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rPr>
        <w:t xml:space="preserve"> </w:t>
      </w:r>
      <w:r>
        <w:rPr>
          <w:color w:val="auto"/>
        </w:rPr>
      </w:r>
      <w:r/>
    </w:p>
    <w:p>
      <w:pPr>
        <w:pStyle w:val="8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8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8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jc w:val="center"/>
        <w:spacing w:line="360" w:lineRule="auto"/>
        <w:widowControl/>
        <w:rPr>
          <w:rFonts w:ascii="宋体" w:hAnsi="宋体" w:cs="宋体"/>
          <w:b/>
          <w:color w:val="auto"/>
          <w:sz w:val="48"/>
          <w:szCs w:val="44"/>
          <w:highlight w:val="none"/>
        </w:rPr>
      </w:pPr>
      <w:r>
        <w:rPr>
          <w:color w:val="auto"/>
          <w:sz w:val="36"/>
          <w:szCs w:val="44"/>
          <w:highlight w:val="none"/>
        </w:rPr>
        <w:t xml:space="preserve"> </w:t>
      </w:r>
      <w:bookmarkStart w:id="157" w:name="_Toc479757211"/>
      <w:r>
        <w:rPr>
          <w:color w:val="auto"/>
        </w:rPr>
      </w:r>
      <w:bookmarkStart w:id="158" w:name="_Toc462564139"/>
      <w:r>
        <w:rPr>
          <w:color w:val="auto"/>
        </w:rPr>
      </w:r>
      <w:bookmarkStart w:id="159" w:name="_Hlt16619350"/>
      <w:r>
        <w:rPr>
          <w:color w:val="auto"/>
        </w:rPr>
      </w:r>
      <w:bookmarkStart w:id="160" w:name="_Toc16938590"/>
      <w:r>
        <w:rPr>
          <w:color w:val="auto"/>
        </w:rPr>
      </w:r>
      <w:bookmarkStart w:id="161" w:name="_Toc20823346"/>
      <w:r>
        <w:rPr>
          <w:color w:val="auto"/>
        </w:rPr>
      </w:r>
      <w:bookmarkStart w:id="162" w:name="_Toc120614244"/>
      <w:r>
        <w:rPr>
          <w:color w:val="auto"/>
        </w:rPr>
      </w:r>
      <w:bookmarkStart w:id="163"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rPr>
          <w:color w:val="auto"/>
        </w:rPr>
      </w:r>
      <w:r/>
    </w:p>
    <w:p>
      <w:pPr>
        <w:rPr>
          <w:rFonts w:ascii="宋体" w:hAnsi="宋体" w:cs="宋体"/>
          <w:color w:val="auto"/>
          <w:highlight w:val="none"/>
        </w:rPr>
      </w:pPr>
      <w:r>
        <w:rPr>
          <w:color w:val="auto"/>
        </w:rPr>
      </w:r>
      <w:bookmarkStart w:id="164" w:name="EB6d2006462e294de090c16e672cecc3bd"/>
      <w:r>
        <w:rPr>
          <w:color w:val="auto"/>
        </w:rPr>
      </w:r>
      <w:bookmarkEnd w:id="164"/>
      <w:r>
        <w:rPr>
          <w:color w:val="auto"/>
        </w:rPr>
      </w:r>
      <w:r/>
    </w:p>
    <w:p>
      <w:pPr>
        <w:jc w:val="center"/>
        <w:rPr>
          <w:rFonts w:ascii="宋体" w:hAnsi="宋体" w:cs="宋体"/>
          <w:b/>
          <w:bCs/>
          <w:color w:val="auto"/>
          <w:spacing w:val="-20"/>
          <w:sz w:val="48"/>
          <w:szCs w:val="48"/>
          <w:highlight w:val="none"/>
        </w:rPr>
      </w:pPr>
      <w:r>
        <w:rPr>
          <w:color w:val="auto"/>
        </w:rPr>
      </w:r>
      <w:bookmarkStart w:id="165" w:name="_Toc3995"/>
      <w:r>
        <w:rPr>
          <w:color w:val="auto"/>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rPr>
      </w:r>
      <w:r/>
    </w:p>
    <w:p>
      <w:pPr>
        <w:jc w:val="center"/>
        <w:rPr>
          <w:rFonts w:ascii="宋体" w:hAnsi="宋体" w:cs="宋体"/>
          <w:color w:val="auto"/>
          <w:sz w:val="30"/>
          <w:highlight w:val="none"/>
        </w:rPr>
      </w:pPr>
      <w:r>
        <w:rPr>
          <w:rFonts w:ascii="宋体" w:hAnsi="宋体" w:cs="宋体"/>
          <w:color w:val="auto"/>
          <w:sz w:val="30"/>
          <w:highlight w:val="none"/>
        </w:rPr>
      </w:r>
      <w:r>
        <w:rPr>
          <w:color w:val="auto"/>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rPr>
          <w:color w:val="auto"/>
        </w:rPr>
      </w:r>
      <w:r/>
    </w:p>
    <w:p>
      <w:pPr>
        <w:jc w:val="center"/>
        <w:rPr>
          <w:rFonts w:ascii="宋体" w:hAnsi="宋体" w:cs="宋体"/>
          <w:color w:val="auto"/>
          <w:sz w:val="30"/>
          <w:highlight w:val="none"/>
        </w:rPr>
      </w:pPr>
      <w:r>
        <w:rPr>
          <w:rFonts w:ascii="宋体" w:hAnsi="宋体" w:cs="宋体"/>
          <w:color w:val="auto"/>
          <w:sz w:val="30"/>
          <w:highlight w:val="none"/>
        </w:rPr>
      </w:r>
      <w:r>
        <w:rPr>
          <w:color w:val="auto"/>
        </w:rPr>
      </w:r>
      <w:r/>
    </w:p>
    <w:p>
      <w:pPr>
        <w:rPr>
          <w:rFonts w:ascii="宋体" w:hAnsi="宋体" w:cs="宋体"/>
          <w:color w:val="auto"/>
          <w:sz w:val="30"/>
          <w:highlight w:val="none"/>
        </w:rPr>
      </w:pPr>
      <w:r>
        <w:rPr>
          <w:rFonts w:ascii="宋体" w:hAnsi="宋体" w:cs="宋体"/>
          <w:color w:val="auto"/>
          <w:sz w:val="30"/>
          <w:highlight w:val="none"/>
        </w:rPr>
      </w:r>
      <w:r>
        <w:rPr>
          <w:color w:val="auto"/>
        </w:rPr>
      </w:r>
      <w:r/>
    </w:p>
    <w:p>
      <w:pPr>
        <w:rPr>
          <w:rFonts w:ascii="宋体" w:hAnsi="宋体" w:cs="宋体"/>
          <w:color w:val="auto"/>
          <w:sz w:val="30"/>
          <w:highlight w:val="none"/>
        </w:rPr>
      </w:pPr>
      <w:r>
        <w:rPr>
          <w:rFonts w:ascii="宋体" w:hAnsi="宋体" w:cs="宋体"/>
          <w:color w:val="auto"/>
          <w:sz w:val="30"/>
          <w:highlight w:val="none"/>
        </w:rPr>
      </w:r>
      <w:r>
        <w:rPr>
          <w:color w:val="auto"/>
        </w:rPr>
      </w:r>
      <w:r/>
    </w:p>
    <w:p>
      <w:pPr>
        <w:rPr>
          <w:rFonts w:ascii="宋体" w:hAnsi="宋体" w:cs="宋体"/>
          <w:color w:val="auto"/>
          <w:sz w:val="30"/>
          <w:highlight w:val="none"/>
        </w:rPr>
      </w:pPr>
      <w:r>
        <w:rPr>
          <w:rFonts w:ascii="宋体" w:hAnsi="宋体" w:cs="宋体"/>
          <w:color w:val="auto"/>
          <w:sz w:val="30"/>
          <w:highlight w:val="none"/>
        </w:rPr>
      </w:r>
      <w:r>
        <w:rPr>
          <w:color w:val="auto"/>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rPr>
          <w:color w:val="auto"/>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rPr>
          <w:color w:val="auto"/>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rPr>
          <w:color w:val="auto"/>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rPr>
          <w:color w:val="auto"/>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rPr>
          <w:color w:val="auto"/>
        </w:rPr>
      </w:r>
      <w:r/>
    </w:p>
    <w:p>
      <w:pPr>
        <w:rPr>
          <w:color w:val="auto"/>
          <w:highlight w:val="none"/>
        </w:rPr>
      </w:pPr>
      <w:r>
        <w:rPr>
          <w:color w:val="auto"/>
          <w:highlight w:val="none"/>
        </w:rPr>
      </w:r>
      <w:r>
        <w:rPr>
          <w:color w:val="auto"/>
        </w:rPr>
      </w:r>
      <w:r/>
    </w:p>
    <w:p>
      <w:pPr>
        <w:rPr>
          <w:rFonts w:eastAsia="黑体"/>
          <w:color w:val="auto"/>
          <w:sz w:val="44"/>
          <w:szCs w:val="44"/>
          <w:highlight w:val="none"/>
        </w:rPr>
      </w:pPr>
      <w:r>
        <w:rPr>
          <w:rFonts w:eastAsia="黑体"/>
          <w:color w:val="auto"/>
          <w:sz w:val="44"/>
          <w:szCs w:val="44"/>
          <w:highlight w:val="none"/>
        </w:rPr>
        <w:br w:type="page" w:clear="all"/>
      </w:r>
      <w:r>
        <w:rPr>
          <w:color w:val="auto"/>
        </w:rPr>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rPr>
          <w:color w:val="auto"/>
        </w:rPr>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rPr>
          <w:color w:val="auto"/>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rPr>
          <w:color w:val="auto"/>
        </w:rPr>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rPr>
          <w:color w:val="auto"/>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rPr>
          <w:color w:val="auto"/>
        </w:rPr>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bookmarkEnd w:id="165"/>
      <w:r>
        <w:rPr>
          <w:color w:val="auto"/>
        </w:rPr>
      </w:r>
      <w:r/>
    </w:p>
    <w:p>
      <w:pPr>
        <w:jc w:val="center"/>
        <w:keepLines/>
        <w:keepNext/>
        <w:spacing w:line="400" w:lineRule="exact"/>
        <w:rPr>
          <w:rFonts w:ascii="黑体" w:hAnsi="黑体" w:eastAsia="黑体"/>
          <w:b/>
          <w:bCs/>
          <w:color w:val="auto"/>
          <w:sz w:val="28"/>
          <w:szCs w:val="28"/>
          <w:highlight w:val="none"/>
        </w:rPr>
        <w:outlineLvl w:val="1"/>
      </w:pPr>
      <w:r>
        <w:rPr>
          <w:color w:val="auto"/>
        </w:rPr>
      </w:r>
      <w:bookmarkStart w:id="166" w:name="_Toc22209"/>
      <w:r>
        <w:rPr>
          <w:color w:val="auto"/>
        </w:rPr>
      </w: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6"/>
      <w:r>
        <w:rPr>
          <w:color w:val="auto"/>
        </w:rPr>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rPr>
          <w:color w:val="auto"/>
        </w:rPr>
      </w:r>
      <w:r/>
    </w:p>
    <w:p>
      <w:pPr>
        <w:spacing w:line="360" w:lineRule="auto"/>
        <w:rPr>
          <w:rFonts w:ascii="宋体" w:hAnsi="宋体"/>
          <w:color w:val="auto"/>
          <w:sz w:val="24"/>
          <w:highlight w:val="none"/>
        </w:rPr>
      </w:pPr>
      <w:r>
        <w:rPr>
          <w:rFonts w:hint="eastAsia" w:ascii="宋体" w:hAnsi="宋体"/>
          <w:color w:val="auto"/>
          <w:sz w:val="24"/>
          <w:highlight w:val="none"/>
        </w:rPr>
        <w:t xml:space="preserve">甲方（全称）：</w:t>
      </w:r>
      <w:r>
        <w:rPr>
          <w:color w:val="auto"/>
        </w:rPr>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color w:val="auto"/>
        </w:rPr>
      </w:r>
      <w:r/>
    </w:p>
    <w:p>
      <w:pPr>
        <w:numPr>
          <w:ilvl w:val="0"/>
          <w:numId w:val="3"/>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rPr>
          <w:color w:val="auto"/>
        </w:rPr>
      </w:r>
      <w:r/>
    </w:p>
    <w:p>
      <w:pPr>
        <w:numPr>
          <w:ilvl w:val="0"/>
          <w:numId w:val="4"/>
        </w:num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采购项目名称：</w:t>
      </w:r>
      <w:r>
        <w:rPr>
          <w:color w:val="auto"/>
        </w:rPr>
      </w:r>
      <w:r/>
    </w:p>
    <w:p>
      <w:pPr>
        <w:numPr>
          <w:ilvl w:val="255"/>
          <w:numId w:val="0"/>
        </w:numPr>
        <w:spacing w:line="360" w:lineRule="auto"/>
        <w:tabs>
          <w:tab w:val="left" w:pos="999" w:leader="none"/>
        </w:tabs>
        <w:rPr>
          <w:rFonts w:ascii="宋体" w:hAnsi="宋体"/>
          <w:color w:val="auto"/>
          <w:sz w:val="24"/>
          <w:highlight w:val="none"/>
        </w:rPr>
      </w:pPr>
      <w:r>
        <w:rPr>
          <w:rFonts w:hint="eastAsia" w:ascii="宋体" w:hAnsi="宋体"/>
          <w:color w:val="auto"/>
          <w:sz w:val="24"/>
          <w:highlight w:val="none"/>
        </w:rPr>
        <w:t xml:space="preserve">         采购项目编号：</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（2）采购计划编号：</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（3）项目内容：</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采购标的及数量（台/套</w:t>
      </w:r>
      <w:r>
        <w:rPr>
          <w:rFonts w:ascii="宋体" w:hAnsi="宋体"/>
          <w:color w:val="auto"/>
          <w:sz w:val="24"/>
          <w:highlight w:val="none"/>
        </w:rPr>
        <w:t xml:space="preserve">/</w:t>
      </w:r>
      <w:r>
        <w:rPr>
          <w:rFonts w:hint="eastAsia" w:ascii="宋体" w:hAnsi="宋体"/>
          <w:color w:val="auto"/>
          <w:sz w:val="24"/>
          <w:highlight w:val="none"/>
        </w:rPr>
        <w:t xml:space="preserve">个</w:t>
      </w:r>
      <w:r>
        <w:rPr>
          <w:rFonts w:ascii="宋体" w:hAnsi="宋体"/>
          <w:color w:val="auto"/>
          <w:sz w:val="24"/>
          <w:highlight w:val="none"/>
        </w:rPr>
        <w:t xml:space="preserve">/</w:t>
      </w:r>
      <w:r>
        <w:rPr>
          <w:rFonts w:hint="eastAsia" w:ascii="宋体" w:hAnsi="宋体"/>
          <w:color w:val="auto"/>
          <w:sz w:val="24"/>
          <w:highlight w:val="none"/>
        </w:rPr>
        <w:t xml:space="preserve">架</w:t>
      </w:r>
      <w:r>
        <w:rPr>
          <w:rFonts w:ascii="宋体" w:hAnsi="宋体"/>
          <w:color w:val="auto"/>
          <w:sz w:val="24"/>
          <w:highlight w:val="none"/>
        </w:rPr>
        <w:t xml:space="preserve">/</w:t>
      </w:r>
      <w:r>
        <w:rPr>
          <w:rFonts w:hint="eastAsia" w:ascii="宋体" w:hAnsi="宋体"/>
          <w:color w:val="auto"/>
          <w:sz w:val="24"/>
          <w:highlight w:val="none"/>
        </w:rPr>
        <w:t xml:space="preserve">组等）：</w:t>
      </w:r>
      <w:r>
        <w:rPr>
          <w:color w:val="auto"/>
        </w:rPr>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品牌：规格型号：</w:t>
      </w:r>
      <w:r>
        <w:rPr>
          <w:color w:val="auto"/>
        </w:rPr>
      </w:r>
      <w:r/>
    </w:p>
    <w:p>
      <w:pPr>
        <w:ind w:firstLine="108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rPr>
          <w:color w:val="auto"/>
        </w:rPr>
      </w:r>
      <w:r/>
    </w:p>
    <w:p>
      <w:pPr>
        <w:numPr>
          <w:ilvl w:val="255"/>
          <w:numId w:val="0"/>
        </w:numPr>
        <w:ind w:firstLine="10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rPr>
          <w:color w:val="auto"/>
        </w:rPr>
      </w:r>
      <w:r/>
    </w:p>
    <w:p>
      <w:pPr>
        <w:numPr>
          <w:ilvl w:val="255"/>
          <w:numId w:val="0"/>
        </w:num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标的名称：</w:t>
      </w:r>
      <w:r>
        <w:rPr>
          <w:color w:val="auto"/>
        </w:rPr>
      </w:r>
      <w:r/>
    </w:p>
    <w:p>
      <w:pPr>
        <w:ind w:firstLine="480"/>
        <w:spacing w:line="400" w:lineRule="exact"/>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color w:val="auto"/>
        </w:rPr>
      </w:r>
      <w:r/>
    </w:p>
    <w:p>
      <w:pPr>
        <w:pStyle w:val="87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rPr>
          <w:color w:val="auto"/>
        </w:rPr>
      </w:r>
      <w:r/>
    </w:p>
    <w:p>
      <w:pPr>
        <w:pStyle w:val="87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color w:val="auto"/>
        </w:rPr>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rPr>
          <w:color w:val="auto"/>
        </w:rPr>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②涉及车辆采购，请填写是否属于新能源汽车：</w:t>
      </w:r>
      <w:r>
        <w:rPr>
          <w:color w:val="auto"/>
        </w:rPr>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 数量： 金额：</w:t>
      </w:r>
      <w:r>
        <w:rPr>
          <w:color w:val="auto"/>
        </w:rPr>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rPr>
          <w:color w:val="auto"/>
        </w:rPr>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分散采购</w:t>
      </w:r>
      <w:r>
        <w:rPr>
          <w:color w:val="auto"/>
        </w:rPr>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rPr>
          <w:color w:val="auto"/>
        </w:rPr>
      </w:r>
      <w:r/>
    </w:p>
    <w:p>
      <w:pPr>
        <w:numPr>
          <w:ilvl w:val="255"/>
          <w:numId w:val="0"/>
        </w:numPr>
        <w:ind w:firstLine="420"/>
        <w:jc w:val="left"/>
        <w:spacing w:line="360" w:lineRule="auto"/>
        <w:widowControl/>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rPr>
          <w:color w:val="auto"/>
        </w:rPr>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（注：在框架协议采购的第二阶段，可选择使用该合同文本）</w:t>
      </w:r>
      <w:r>
        <w:rPr>
          <w:color w:val="auto"/>
        </w:rPr>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color w:val="auto"/>
        </w:rPr>
      </w:r>
      <w:r/>
    </w:p>
    <w:p>
      <w:pPr>
        <w:numPr>
          <w:ilvl w:val="255"/>
          <w:numId w:val="0"/>
        </w:numPr>
        <w:spacing w:line="360" w:lineRule="auto"/>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rPr>
          <w:color w:val="auto"/>
        </w:rPr>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rPr>
          <w:color w:val="auto"/>
        </w:rPr>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rPr>
          <w:color w:val="auto"/>
        </w:rPr>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rPr>
          <w:color w:val="auto"/>
        </w:rPr>
      </w:r>
      <w:r/>
    </w:p>
    <w:p>
      <w:pPr>
        <w:ind w:firstLine="960"/>
        <w:spacing w:line="360" w:lineRule="auto"/>
        <w:rPr>
          <w:rFonts w:ascii="宋体" w:hAnsi="宋体"/>
          <w:color w:val="auto"/>
          <w:sz w:val="24"/>
          <w:highlight w:val="none"/>
          <w:u w:val="single"/>
        </w:rPr>
      </w:pPr>
      <w:r>
        <w:rPr>
          <w:rFonts w:hint="eastAsia" w:ascii="宋体" w:hAnsi="宋体"/>
          <w:color w:val="auto"/>
          <w:sz w:val="24"/>
          <w:highlight w:val="none"/>
        </w:rPr>
        <w:t xml:space="preserve">分包主要内容：</w:t>
      </w:r>
      <w:r>
        <w:rPr>
          <w:color w:val="auto"/>
        </w:rPr>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分包供应商/制造商名称（如供应商和制造商不同，请分别填写）：</w:t>
      </w:r>
      <w:r>
        <w:rPr>
          <w:color w:val="auto"/>
        </w:rPr>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分包供应商/制造商类型（如果供应商和制造商不同，只填写制造商类型）：</w:t>
      </w:r>
      <w:r>
        <w:rPr>
          <w:color w:val="auto"/>
        </w:rPr>
      </w:r>
      <w:r/>
    </w:p>
    <w:p>
      <w:pPr>
        <w:ind w:firstLine="960"/>
        <w:spacing w:line="360" w:lineRule="auto"/>
        <w:rPr>
          <w:rFonts w:ascii="宋体" w:hAnsi="宋体"/>
          <w:iCs/>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小微型企业</w:t>
      </w:r>
      <w:r>
        <w:rPr>
          <w:color w:val="auto"/>
        </w:rPr>
      </w:r>
      <w:r/>
    </w:p>
    <w:p>
      <w:pPr>
        <w:ind w:firstLine="960"/>
        <w:spacing w:line="360" w:lineRule="auto"/>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其他</w:t>
      </w:r>
      <w:r>
        <w:rPr>
          <w:color w:val="auto"/>
        </w:rPr>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否</w:t>
      </w:r>
      <w:r>
        <w:rPr>
          <w:color w:val="auto"/>
        </w:rPr>
      </w:r>
      <w:r/>
    </w:p>
    <w:p>
      <w:pPr>
        <w:ind w:firstLine="480"/>
        <w:jc w:val="left"/>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rPr>
          <w:color w:val="auto"/>
        </w:rPr>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rPr>
          <w:color w:val="auto"/>
        </w:rPr>
      </w:r>
      <w:r/>
    </w:p>
    <w:p>
      <w:pPr>
        <w:numPr>
          <w:ilvl w:val="255"/>
          <w:numId w:val="0"/>
        </w:numPr>
        <w:ind w:firstLine="96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rPr>
          <w:color w:val="auto"/>
        </w:rPr>
      </w:r>
      <w:r/>
    </w:p>
    <w:p>
      <w:pPr>
        <w:numPr>
          <w:ilvl w:val="255"/>
          <w:numId w:val="0"/>
        </w:numPr>
        <w:ind w:firstLine="96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rPr>
          <w:color w:val="auto"/>
        </w:rPr>
      </w:r>
      <w:r/>
    </w:p>
    <w:p>
      <w:p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color w:val="auto"/>
        </w:rPr>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rPr>
          <w:color w:val="auto"/>
        </w:rPr>
      </w:r>
      <w:r/>
    </w:p>
    <w:p>
      <w:pPr>
        <w:numPr>
          <w:ilvl w:val="255"/>
          <w:numId w:val="0"/>
        </w:numPr>
        <w:ind w:firstLine="96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rPr>
          <w:color w:val="auto"/>
        </w:rPr>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rPr>
          <w:color w:val="auto"/>
        </w:rPr>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color w:val="auto"/>
        </w:rPr>
      </w:r>
      <w:r/>
    </w:p>
    <w:p>
      <w:pPr>
        <w:numPr>
          <w:ilvl w:val="255"/>
          <w:numId w:val="0"/>
        </w:numPr>
        <w:ind w:firstLine="96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rPr>
          <w:color w:val="auto"/>
        </w:rPr>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rPr>
          <w:color w:val="auto"/>
        </w:rPr>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rPr>
          <w:color w:val="auto"/>
        </w:rPr>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color w:val="auto"/>
        </w:rPr>
      </w:r>
      <w:r/>
    </w:p>
    <w:p>
      <w:pPr>
        <w:numPr>
          <w:ilvl w:val="255"/>
          <w:numId w:val="0"/>
        </w:numPr>
        <w:ind w:firstLine="84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rPr>
          <w:color w:val="auto"/>
        </w:rPr>
      </w:r>
      <w:r/>
    </w:p>
    <w:p>
      <w:pPr>
        <w:ind w:firstLine="90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rPr>
          <w:color w:val="auto"/>
        </w:rPr>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rPr>
          <w:color w:val="auto"/>
        </w:rPr>
      </w:r>
      <w:r/>
    </w:p>
    <w:p>
      <w:pPr>
        <w:ind w:firstLine="900"/>
        <w:jc w:val="left"/>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color w:val="auto"/>
        </w:rPr>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）涉及商品包装和快递包装的，是否参考《商品包装政府采购需求标准（试行）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快递包装政府采购需求标准（试行）》明确产品及相关快递服务的具体包装要求：</w:t>
      </w:r>
      <w:r>
        <w:rPr>
          <w:color w:val="auto"/>
        </w:rPr>
      </w:r>
      <w:r/>
    </w:p>
    <w:p>
      <w:pPr>
        <w:numPr>
          <w:ilvl w:val="255"/>
          <w:numId w:val="0"/>
        </w:num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不涉及</w:t>
      </w:r>
      <w:r>
        <w:rPr>
          <w:color w:val="auto"/>
        </w:rPr>
      </w:r>
      <w:r/>
    </w:p>
    <w:p>
      <w:pPr>
        <w:numPr>
          <w:ilvl w:val="0"/>
          <w:numId w:val="3"/>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合同金额</w:t>
      </w:r>
      <w:r>
        <w:rPr>
          <w:color w:val="auto"/>
        </w:rPr>
      </w:r>
      <w:r/>
    </w:p>
    <w:p>
      <w:pPr>
        <w:ind w:firstLine="480"/>
        <w:spacing w:line="360" w:lineRule="auto"/>
        <w:rPr>
          <w:rFonts w:hint="default" w:ascii="宋体" w:hAnsi="宋体" w:eastAsiaTheme="minorEastAsia"/>
          <w:color w:val="auto"/>
          <w:sz w:val="24"/>
          <w:highlight w:val="none"/>
        </w:rPr>
      </w:pPr>
      <w:r>
        <w:rPr>
          <w:rFonts w:hint="eastAsia" w:ascii="宋体" w:hAnsi="宋体"/>
          <w:color w:val="auto"/>
          <w:sz w:val="24"/>
          <w:highlight w:val="none"/>
        </w:rPr>
        <w:t xml:space="preserve">（1）合同金额小写：</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 </w:t>
      </w:r>
      <w:r>
        <w:rPr>
          <w:color w:val="auto"/>
        </w:rPr>
      </w:r>
      <w:r/>
    </w:p>
    <w:p>
      <w:pPr>
        <w:ind w:firstLine="480"/>
        <w:spacing w:line="360" w:lineRule="auto"/>
        <w:rPr>
          <w:rFonts w:hint="default" w:ascii="宋体" w:hAnsi="宋体" w:eastAsiaTheme="minorEastAsia"/>
          <w:color w:val="auto"/>
          <w:sz w:val="24"/>
          <w:highlight w:val="none"/>
          <w:u w:val="single"/>
        </w:rPr>
      </w:pPr>
      <w:r>
        <w:rPr>
          <w:rFonts w:hint="eastAsia" w:ascii="宋体" w:hAnsi="宋体"/>
          <w:color w:val="auto"/>
          <w:sz w:val="24"/>
          <w:highlight w:val="none"/>
        </w:rPr>
        <w:t xml:space="preserve">大写：</w:t>
      </w:r>
      <w:r>
        <w:rPr>
          <w:rFonts w:hint="eastAsia" w:ascii="宋体" w:hAnsi="宋体"/>
          <w:color w:val="auto"/>
          <w:sz w:val="24"/>
          <w:highlight w:val="none"/>
          <w:u w:val="single"/>
          <w:lang w:val="en-US" w:eastAsia="zh-CN"/>
        </w:rPr>
        <w:t xml:space="preserve">                                 </w:t>
      </w:r>
      <w:r>
        <w:rPr>
          <w:color w:val="auto"/>
        </w:rPr>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 （2）付款方式：合同签定后10日内支付合同总价的10%作为预付款（中标人须提供合同总价10%的银行保函）；桩基完成付合同价的20%，项目完成并经验收合格后，在第一个农历春节前支付至合同价款的80%；余款待第二个农历春节前凭审计报告付至审计价的100%；采购人在收到发票后 10 个工作日内支付到合同约定的中标人银行账户。</w:t>
      </w:r>
      <w:r>
        <w:rPr>
          <w:color w:val="auto"/>
        </w:rPr>
      </w:r>
      <w:r/>
    </w:p>
    <w:p>
      <w:pPr>
        <w:numPr>
          <w:ilvl w:val="0"/>
          <w:numId w:val="3"/>
        </w:numPr>
        <w:ind w:firstLine="482"/>
        <w:spacing w:line="360" w:lineRule="auto"/>
        <w:rPr>
          <w:rFonts w:ascii="宋体" w:hAnsi="宋体"/>
          <w:b/>
          <w:color w:val="auto"/>
          <w:sz w:val="24"/>
          <w:highlight w:val="none"/>
          <w:u w:val="single"/>
        </w:rPr>
      </w:pPr>
      <w:r>
        <w:rPr>
          <w:rFonts w:hint="eastAsia" w:ascii="宋体" w:hAnsi="宋体"/>
          <w:b/>
          <w:color w:val="auto"/>
          <w:sz w:val="24"/>
          <w:highlight w:val="none"/>
        </w:rPr>
        <w:t xml:space="preserve">合同履行</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color w:val="auto"/>
        </w:rPr>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（2）履约地点</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color w:val="auto"/>
        </w:rPr>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收取履约保证金形式：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rPr>
          <w:color w:val="auto"/>
        </w:rPr>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     履约担保期限： </w:t>
      </w:r>
      <w:r>
        <w:rPr>
          <w:rFonts w:hint="eastAsia" w:ascii="宋体" w:hAnsi="宋体" w:cs="宋体"/>
          <w:bCs/>
          <w:color w:val="auto"/>
          <w:sz w:val="24"/>
          <w:highlight w:val="none"/>
          <w:u w:val="single"/>
        </w:rPr>
        <w:t xml:space="preserve">                                    </w:t>
      </w:r>
      <w:r>
        <w:rPr>
          <w:color w:val="auto"/>
        </w:rPr>
      </w:r>
      <w:r/>
    </w:p>
    <w:p>
      <w:pPr>
        <w:numPr>
          <w:ilvl w:val="0"/>
          <w:numId w:val="5"/>
        </w:num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rPr>
          <w:color w:val="auto"/>
        </w:rPr>
      </w:r>
      <w:r/>
    </w:p>
    <w:p>
      <w:pPr>
        <w:pStyle w:val="869"/>
        <w:ind w:left="210" w:firstLine="240"/>
        <w:jc w:val="both"/>
        <w:spacing w:before="120" w:beforeAutospacing="0" w:after="120" w:afterAutospacing="0"/>
        <w:rPr>
          <w:rFonts w:ascii="宋体" w:hAnsi="宋体" w:cs="宋体"/>
          <w:color w:val="auto"/>
          <w:highlight w:val="none"/>
        </w:rPr>
      </w:pPr>
      <w:r>
        <w:rPr>
          <w:rFonts w:hint="eastAsia" w:ascii="宋体" w:hAnsi="宋体" w:cs="宋体"/>
          <w:color w:val="auto"/>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color w:val="auto"/>
          <w:highlight w:val="none"/>
        </w:rPr>
        <w:t xml:space="preserve">                         </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（5）分期履行要求：</w:t>
      </w:r>
      <w:r>
        <w:rPr>
          <w:color w:val="auto"/>
        </w:rPr>
      </w:r>
      <w:r/>
    </w:p>
    <w:p>
      <w:pPr>
        <w:ind w:firstLine="480"/>
        <w:spacing w:line="360" w:lineRule="auto"/>
        <w:rPr>
          <w:rFonts w:ascii="宋体" w:hAnsi="宋体" w:cs="宋体"/>
          <w:color w:val="auto"/>
          <w:sz w:val="24"/>
          <w:highlight w:val="none"/>
          <w:u w:val="single"/>
        </w:rPr>
      </w:pPr>
      <w:r>
        <w:rPr>
          <w:rFonts w:hint="eastAsia" w:ascii="宋体" w:hAnsi="宋体" w:cs="宋体"/>
          <w:bCs/>
          <w:color w:val="auto"/>
          <w:sz w:val="24"/>
          <w:highlight w:val="none"/>
        </w:rPr>
        <w:t xml:space="preserve">（6）风险处置措施和替代方案：</w:t>
      </w:r>
      <w:r>
        <w:rPr>
          <w:color w:val="auto"/>
        </w:rPr>
      </w:r>
      <w:r/>
    </w:p>
    <w:p>
      <w:pPr>
        <w:numPr>
          <w:ilvl w:val="0"/>
          <w:numId w:val="3"/>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rPr>
          <w:color w:val="auto"/>
        </w:rPr>
      </w:r>
      <w:r/>
    </w:p>
    <w:p>
      <w:pPr>
        <w:numPr>
          <w:ilvl w:val="0"/>
          <w:numId w:val="6"/>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rPr>
          <w:color w:val="auto"/>
        </w:rPr>
      </w:r>
      <w:r/>
    </w:p>
    <w:p>
      <w:pPr>
        <w:ind w:firstLine="96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rPr>
          <w:color w:val="auto"/>
        </w:rPr>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rPr>
          <w:color w:val="auto"/>
        </w:rPr>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rPr>
          <w:color w:val="auto"/>
        </w:rPr>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rPr>
          <w:color w:val="auto"/>
        </w:rPr>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rPr>
          <w:color w:val="auto"/>
        </w:rPr>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rPr>
          <w:color w:val="auto"/>
        </w:rPr>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rPr>
          <w:color w:val="auto"/>
        </w:rPr>
      </w:r>
      <w:r/>
    </w:p>
    <w:p>
      <w:pPr>
        <w:ind w:firstLine="96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rPr>
          <w:color w:val="auto"/>
        </w:rPr>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rPr>
          <w:color w:val="auto"/>
        </w:rPr>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（计划于何时验收/供应商提出验收申请之日起   日内组织验收）</w:t>
      </w:r>
      <w:r>
        <w:rPr>
          <w:color w:val="auto"/>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一次性验收         </w:t>
      </w:r>
      <w:r>
        <w:rPr>
          <w:color w:val="auto"/>
        </w:rPr>
      </w:r>
      <w:r/>
    </w:p>
    <w:p>
      <w:pPr>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分期/分项验收：</w:t>
      </w:r>
      <w:r>
        <w:rPr>
          <w:rFonts w:hint="eastAsia" w:ascii="宋体" w:hAnsi="宋体"/>
          <w:bCs/>
          <w:color w:val="auto"/>
          <w:sz w:val="24"/>
          <w:highlight w:val="none"/>
          <w:u w:val="single"/>
        </w:rPr>
        <w:t xml:space="preserve">（应明确分期</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分项验收的工作安排）</w:t>
      </w:r>
      <w:r>
        <w:rPr>
          <w:color w:val="auto"/>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（4）履约验收程序：</w:t>
      </w:r>
      <w:r>
        <w:rPr>
          <w:color w:val="auto"/>
        </w:rPr>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（5）履约验收的内容：</w:t>
      </w:r>
      <w:r>
        <w:rPr>
          <w:rFonts w:hint="eastAsia" w:ascii="宋体" w:hAnsi="宋体"/>
          <w:bCs/>
          <w:color w:val="auto"/>
          <w:sz w:val="24"/>
          <w:highlight w:val="none"/>
          <w:u w:val="single"/>
        </w:rPr>
        <w:t xml:space="preserve">（应当包括每一项技术和商务要求的履约情况，特别是落实政府采购扶持中小企业，支持绿色发展和乡村振兴等政策情况）</w:t>
      </w:r>
      <w:r>
        <w:rPr>
          <w:color w:val="auto"/>
        </w:rPr>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（6）履约验收标准：</w:t>
      </w:r>
      <w:r>
        <w:rPr>
          <w:color w:val="auto"/>
        </w:rPr>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否</w:t>
      </w:r>
      <w:r>
        <w:rPr>
          <w:color w:val="auto"/>
        </w:rPr>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（8）履约验收其他事项：</w:t>
      </w:r>
      <w:r>
        <w:rPr>
          <w:rFonts w:hint="eastAsia" w:ascii="宋体" w:hAnsi="宋体" w:cs="宋体"/>
          <w:bCs/>
          <w:color w:val="auto"/>
          <w:sz w:val="24"/>
          <w:highlight w:val="none"/>
          <w:u w:val="single"/>
        </w:rPr>
        <w:t xml:space="preserve">（产权过户登记等）</w:t>
      </w:r>
      <w:r>
        <w:rPr>
          <w:color w:val="auto"/>
        </w:rPr>
      </w:r>
      <w:r/>
    </w:p>
    <w:p>
      <w:pPr>
        <w:numPr>
          <w:ilvl w:val="0"/>
          <w:numId w:val="3"/>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rPr>
          <w:color w:val="auto"/>
        </w:rPr>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rPr>
          <w:color w:val="auto"/>
        </w:rPr>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rPr>
          <w:color w:val="auto"/>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rPr>
          <w:color w:val="auto"/>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color w:val="auto"/>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color w:val="auto"/>
        </w:rPr>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rPr>
          <w:color w:val="auto"/>
        </w:rPr>
      </w:r>
      <w:r/>
    </w:p>
    <w:p>
      <w:pPr>
        <w:ind w:firstLine="480"/>
        <w:spacing w:line="360" w:lineRule="auto"/>
        <w:rPr>
          <w:rFonts w:ascii="宋体" w:hAnsi="宋体"/>
          <w:color w:val="auto"/>
          <w:sz w:val="24"/>
          <w:highlight w:val="none"/>
        </w:rPr>
      </w:pPr>
      <w:r>
        <w:rPr>
          <w:rFonts w:ascii="宋体" w:hAnsi="宋体"/>
          <w:color w:val="auto"/>
          <w:sz w:val="24"/>
          <w:highlight w:val="none"/>
        </w:rPr>
      </w:r>
      <w:r>
        <w:rPr>
          <w:color w:val="auto"/>
        </w:rPr>
      </w:r>
      <w:r/>
    </w:p>
    <w:p>
      <w:pPr>
        <w:spacing w:line="360" w:lineRule="auto"/>
        <w:rPr>
          <w:rFonts w:ascii="宋体" w:hAnsi="宋体"/>
          <w:color w:val="auto"/>
          <w:sz w:val="24"/>
          <w:highlight w:val="none"/>
        </w:rPr>
      </w:pPr>
      <w:r>
        <w:rPr>
          <w:rFonts w:ascii="宋体" w:hAnsi="宋体"/>
          <w:color w:val="auto"/>
          <w:sz w:val="24"/>
          <w:highlight w:val="none"/>
        </w:rPr>
      </w:r>
      <w:r>
        <w:rPr>
          <w:color w:val="auto"/>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rPr>
          <w:color w:val="auto"/>
        </w:rPr>
      </w:r>
      <w:r/>
    </w:p>
    <w:p>
      <w:pPr>
        <w:ind w:firstLine="420"/>
        <w:spacing w:line="360" w:lineRule="auto"/>
        <w:rPr>
          <w:color w:val="auto"/>
          <w:szCs w:val="21"/>
          <w:highlight w:val="none"/>
        </w:rPr>
      </w:pPr>
      <w:r>
        <w:rPr>
          <w:color w:val="auto"/>
          <w:szCs w:val="21"/>
          <w:highlight w:val="none"/>
        </w:rPr>
      </w:r>
      <w:r>
        <w:rPr>
          <w:color w:val="auto"/>
        </w:rPr>
      </w:r>
      <w:r/>
    </w:p>
    <w:tbl>
      <w:tblPr>
        <w:tblStyle w:val="86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rPr>
                <w:color w:val="auto"/>
              </w:rPr>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rPr>
                <w:color w:val="auto"/>
              </w:rPr>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rPr>
                <w:color w:val="auto"/>
              </w:rPr>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rPr>
                <w:color w:val="auto"/>
              </w:rPr>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rPr>
                <w:color w:val="auto"/>
              </w:rPr>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rPr>
                <w:color w:va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rPr>
                <w:color w:val="auto"/>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rPr>
                <w:color w:val="auto"/>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rPr>
                <w:color w:val="auto"/>
              </w:rPr>
            </w:r>
            <w:r/>
          </w:p>
        </w:tc>
      </w:tr>
    </w:tbl>
    <w:p>
      <w:pPr>
        <w:pStyle w:val="861"/>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r>
        <w:rPr>
          <w:color w:val="auto"/>
        </w:rPr>
      </w:r>
      <w:bookmarkStart w:id="168" w:name="_Toc20313"/>
      <w:r>
        <w:rPr>
          <w:rFonts w:hint="eastAsia" w:ascii="黑体" w:hAnsi="黑体" w:eastAsia="黑体"/>
          <w:b w:val="0"/>
          <w:bCs w:val="0"/>
          <w:color w:val="auto"/>
          <w:sz w:val="28"/>
          <w:szCs w:val="28"/>
          <w:highlight w:val="none"/>
        </w:rPr>
        <w:t xml:space="preserve">第二节 政府采购合同通用条款</w:t>
      </w:r>
      <w:bookmarkEnd w:id="167"/>
      <w:r>
        <w:rPr>
          <w:color w:val="auto"/>
        </w:rPr>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rPr>
          <w:color w:val="auto"/>
        </w:rPr>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rPr>
          <w:color w:val="auto"/>
        </w:rPr>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rPr>
          <w:color w:val="auto"/>
        </w:rPr>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w:t>
      </w:r>
      <w:r>
        <w:rPr>
          <w:rFonts w:hint="eastAsia" w:ascii="宋体" w:hAnsi="宋体"/>
          <w:color w:val="auto"/>
          <w:szCs w:val="21"/>
          <w:highlight w:val="none"/>
        </w:rPr>
        <w:t xml:space="preserve">包括软件）及相关</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rPr>
        <w:t xml:space="preserve">相关</w:t>
      </w:r>
      <w:r>
        <w:rPr>
          <w:rFonts w:hint="eastAsia" w:ascii="宋体" w:hAnsi="宋体"/>
          <w:color w:val="auto"/>
          <w:szCs w:val="21"/>
          <w:highlight w:val="none"/>
        </w:rPr>
        <w:t xml:space="preserve">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auto"/>
        </w:rPr>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olor w:val="auto"/>
          <w:szCs w:val="21"/>
          <w:highlight w:val="none"/>
        </w:rPr>
        <w:t xml:space="preserve">“联合体”系指由两个以上的自然人、法人或者非法人组织组成，以一个供应商的身份共同参加政府采购的主体</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rPr>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rPr>
      </w:r>
      <w:r/>
    </w:p>
    <w:p>
      <w:pPr>
        <w:numPr>
          <w:ilvl w:val="0"/>
          <w:numId w:val="7"/>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rPr>
          <w:color w:val="auto"/>
        </w:rPr>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rPr>
          <w:color w:val="auto"/>
        </w:rPr>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rPr>
          <w:color w:val="auto"/>
        </w:rPr>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rPr>
          <w:color w:val="auto"/>
        </w:rPr>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color w:val="auto"/>
        </w:rPr>
      </w:r>
      <w:r/>
    </w:p>
    <w:p>
      <w:pPr>
        <w:pStyle w:val="865"/>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rPr>
          <w:color w:val="auto"/>
        </w:rPr>
      </w:r>
      <w:r/>
    </w:p>
    <w:p>
      <w:pPr>
        <w:pStyle w:val="865"/>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w:t>
      </w:r>
      <w:r>
        <w:rPr>
          <w:rFonts w:hint="eastAsia" w:ascii="宋体" w:hAnsi="宋体" w:cs="宋体"/>
          <w:color w:val="auto"/>
          <w:szCs w:val="21"/>
          <w:highlight w:val="none"/>
        </w:rPr>
        <w:t xml:space="preserve">由乙方承担的其他义务和责任。</w:t>
      </w:r>
      <w:r>
        <w:rPr>
          <w:color w:val="auto"/>
        </w:rPr>
      </w:r>
      <w:r/>
    </w:p>
    <w:p>
      <w:pPr>
        <w:numPr>
          <w:ilvl w:val="0"/>
          <w:numId w:val="8"/>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rPr>
          <w:color w:val="auto"/>
        </w:rPr>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auto"/>
        </w:rPr>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rPr>
          <w:color w:val="auto"/>
        </w:rPr>
      </w:r>
      <w:r/>
    </w:p>
    <w:p>
      <w:pPr>
        <w:pStyle w:val="873"/>
        <w:ind w:firstLine="420"/>
        <w:rPr>
          <w:rFonts w:hint="eastAsia"/>
          <w:color w:val="auto"/>
          <w:sz w:val="21"/>
          <w:highlight w:val="none"/>
        </w:rPr>
      </w:pPr>
      <w:r>
        <w:rPr>
          <w:rFonts w:hint="eastAsia" w:ascii="宋体" w:hAnsi="宋体" w:eastAsia="宋体" w:cs="Times New Roman"/>
          <w:color w:val="auto"/>
          <w:sz w:val="21"/>
          <w:highlight w:val="none"/>
        </w:rPr>
        <w:t xml:space="preserve">7.6 </w:t>
      </w:r>
      <w:r>
        <w:rPr>
          <w:rFonts w:hint="eastAsia" w:ascii="宋体" w:hAnsi="宋体" w:eastAsia="宋体" w:cs="Times New Roman"/>
          <w:color w:val="auto"/>
          <w:sz w:val="21"/>
          <w:highlight w:val="none"/>
        </w:rPr>
        <w:t xml:space="preserve">如因包装、运输问题导致货物</w:t>
      </w:r>
      <w:r>
        <w:rPr>
          <w:rFonts w:hint="eastAsia" w:ascii="宋体" w:hAnsi="宋体" w:eastAsia="宋体" w:cs="Times New Roman"/>
          <w:color w:val="auto"/>
          <w:sz w:val="21"/>
          <w:highlight w:val="none"/>
        </w:rPr>
        <w:t xml:space="preserve">损毁、丢失</w:t>
      </w:r>
      <w:r>
        <w:rPr>
          <w:rFonts w:hint="eastAsia" w:ascii="宋体" w:hAnsi="宋体" w:eastAsia="宋体" w:cs="Times New Roman"/>
          <w:color w:val="auto"/>
          <w:sz w:val="21"/>
          <w:highlight w:val="none"/>
        </w:rPr>
        <w:t xml:space="preserve">或者品质下降，甲方有权要求降价、换货、拒收部分或整批货物，由此产生的费用和损失，均由乙方承担。</w:t>
      </w:r>
      <w:r>
        <w:rPr>
          <w:color w:val="auto"/>
        </w:rPr>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w:t>
      </w:r>
      <w:r>
        <w:rPr>
          <w:rFonts w:hint="eastAsia" w:ascii="宋体" w:hAnsi="宋体"/>
          <w:b/>
          <w:color w:val="auto"/>
          <w:sz w:val="24"/>
          <w:highlight w:val="none"/>
        </w:rPr>
        <w:t xml:space="preserve">质量标准和保证</w:t>
      </w:r>
      <w:r>
        <w:rPr>
          <w:color w:val="auto"/>
        </w:rPr>
      </w:r>
      <w:r/>
    </w:p>
    <w:p>
      <w:pPr>
        <w:pStyle w:val="866"/>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w:t>
      </w:r>
      <w:r>
        <w:rPr>
          <w:rFonts w:hint="eastAsia" w:ascii="宋体" w:hAnsi="宋体" w:cs="宋体"/>
          <w:color w:val="auto"/>
          <w:szCs w:val="21"/>
          <w:highlight w:val="none"/>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auto"/>
        </w:rPr>
      </w:r>
      <w:r/>
    </w:p>
    <w:p>
      <w:pPr>
        <w:pStyle w:val="866"/>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rPr>
        <w:t xml:space="preserve">的违约责任</w:t>
      </w:r>
      <w:r>
        <w:rPr>
          <w:rFonts w:hint="eastAsia" w:ascii="宋体" w:hAnsi="宋体"/>
          <w:color w:val="auto"/>
          <w:szCs w:val="21"/>
          <w:highlight w:val="none"/>
        </w:rPr>
        <w:t xml:space="preserve">。</w:t>
      </w:r>
      <w:r>
        <w:rPr>
          <w:color w:val="auto"/>
        </w:rPr>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rPr>
          <w:color w:val="auto"/>
        </w:rPr>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rPr>
        <w:t xml:space="preserve"> </w:t>
      </w:r>
      <w:r>
        <w:rPr>
          <w:rFonts w:hint="eastAsia" w:ascii="宋体" w:hAnsi="宋体"/>
          <w:b/>
          <w:bCs/>
          <w:color w:val="auto"/>
          <w:sz w:val="24"/>
          <w:highlight w:val="none"/>
        </w:rPr>
        <w:t xml:space="preserve">权利瑕疵担保</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16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 xml:space="preserve">。</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rPr>
          <w:color w:val="auto"/>
        </w:rPr>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rPr>
          <w:color w:val="auto"/>
        </w:rPr>
      </w:r>
      <w:r/>
    </w:p>
    <w:p>
      <w:pPr>
        <w:pStyle w:val="861"/>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rPr>
          <w:color w:val="auto"/>
        </w:rPr>
      </w:r>
      <w:r/>
    </w:p>
    <w:p>
      <w:pPr>
        <w:pStyle w:val="865"/>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auto"/>
        </w:rPr>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rPr>
          <w:color w:val="auto"/>
        </w:rPr>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rPr>
          <w:color w:val="auto"/>
        </w:rPr>
      </w:r>
      <w:r/>
    </w:p>
    <w:p>
      <w:pPr>
        <w:pStyle w:val="87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rPr>
          <w:color w:val="auto"/>
        </w:rPr>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rPr>
          <w:color w:val="auto"/>
        </w:rPr>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rPr>
          <w:color w:val="auto"/>
        </w:rPr>
      </w:r>
      <w:r/>
    </w:p>
    <w:p>
      <w:pPr>
        <w:numPr>
          <w:ilvl w:val="0"/>
          <w:numId w:val="9"/>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rPr>
          <w:color w:val="auto"/>
        </w:rPr>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auto"/>
        </w:rPr>
      </w:r>
      <w:r/>
    </w:p>
    <w:p>
      <w:pPr>
        <w:pStyle w:val="873"/>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auto"/>
        </w:rPr>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rPr>
          <w:color w:val="auto"/>
        </w:rPr>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rPr>
          <w:color w:val="auto"/>
        </w:rPr>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rPr>
          <w:color w:val="auto"/>
        </w:rPr>
      </w:r>
      <w:r/>
    </w:p>
    <w:p>
      <w:pPr>
        <w:pStyle w:val="873"/>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rPr>
          <w:color w:val="auto"/>
        </w:rPr>
      </w:r>
      <w:r/>
    </w:p>
    <w:p>
      <w:pPr>
        <w:pStyle w:val="873"/>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auto"/>
        </w:rPr>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rPr>
          <w:color w:val="auto"/>
        </w:rPr>
      </w:r>
      <w:r/>
    </w:p>
    <w:p>
      <w:pPr>
        <w:pStyle w:val="87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auto"/>
        </w:rPr>
      </w:r>
      <w:r/>
    </w:p>
    <w:p>
      <w:pPr>
        <w:pStyle w:val="87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color w:val="auto"/>
        </w:rPr>
      </w:r>
      <w:r/>
    </w:p>
    <w:p>
      <w:pPr>
        <w:pStyle w:val="87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rPr>
          <w:color w:val="auto"/>
        </w:rPr>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rPr>
          <w:color w:val="auto"/>
        </w:rPr>
      </w:r>
      <w:r/>
    </w:p>
    <w:p>
      <w:pPr>
        <w:pStyle w:val="865"/>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auto"/>
        </w:rPr>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rPr>
          <w:color w:val="auto"/>
        </w:rPr>
      </w:r>
      <w:r/>
    </w:p>
    <w:p>
      <w:pPr>
        <w:pStyle w:val="87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rPr>
          <w:color w:val="auto"/>
        </w:rPr>
      </w:r>
      <w:r/>
    </w:p>
    <w:p>
      <w:pPr>
        <w:pStyle w:val="87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rPr>
          <w:color w:val="auto"/>
        </w:rPr>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rPr>
          <w:color w:val="auto"/>
        </w:rPr>
      </w:r>
      <w:r/>
    </w:p>
    <w:p>
      <w:pPr>
        <w:pStyle w:val="87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rPr>
          <w:color w:val="auto"/>
        </w:rPr>
      </w:r>
      <w:r/>
    </w:p>
    <w:p>
      <w:pPr>
        <w:pStyle w:val="873"/>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rPr>
          <w:color w:val="auto"/>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rPr>
          <w:color w:val="auto"/>
        </w:rPr>
      </w:r>
      <w:r/>
    </w:p>
    <w:p>
      <w:pPr>
        <w:numPr>
          <w:ilvl w:val="0"/>
          <w:numId w:val="10"/>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rPr>
          <w:color w:val="auto"/>
        </w:rPr>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rPr>
          <w:color w:val="auto"/>
        </w:rPr>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rPr>
          <w:color w:val="auto"/>
        </w:rPr>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rPr>
          <w:color w:val="auto"/>
        </w:rPr>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68"/>
      <w:r>
        <w:rPr>
          <w:color w:val="auto"/>
        </w:rPr>
      </w:r>
      <w:r/>
    </w:p>
    <w:tbl>
      <w:tblPr>
        <w:tblStyle w:val="863"/>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第1.2（6）项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第1.2（7）项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第4.4款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第4.6款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color w:val="auto"/>
                <w:sz w:val="24"/>
                <w:highlight w:val="none"/>
              </w:rPr>
            </w:pPr>
            <w:r>
              <w:rPr>
                <w:rFonts w:hint="eastAsia" w:ascii="宋体" w:hAnsi="宋体"/>
                <w:color w:val="auto"/>
                <w:sz w:val="24"/>
                <w:highlight w:val="none"/>
              </w:rPr>
              <w:t xml:space="preserve">第5.4款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第6.1款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第7.1款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rPr>
                <w:color w:val="auto"/>
              </w:rPr>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auto"/>
              </w:rPr>
            </w:r>
            <w:r/>
          </w:p>
          <w:p>
            <w:pPr>
              <w:rPr>
                <w:color w:val="auto"/>
                <w:sz w:val="24"/>
                <w:highlight w:val="none"/>
              </w:rPr>
            </w:pPr>
            <w:r>
              <w:rPr>
                <w:rFonts w:hint="eastAsia"/>
                <w:color w:val="auto"/>
                <w:sz w:val="24"/>
                <w:highlight w:val="none"/>
              </w:rPr>
              <w:t xml:space="preserve">1.商品包装层数不得超过3 层，空隙率不大于40%；</w:t>
            </w:r>
            <w:r>
              <w:rPr>
                <w:color w:val="auto"/>
              </w:rPr>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rPr>
                <w:color w:val="auto"/>
              </w:rPr>
            </w:r>
            <w:r/>
          </w:p>
          <w:p>
            <w:pPr>
              <w:rPr>
                <w:color w:val="auto"/>
                <w:sz w:val="24"/>
                <w:highlight w:val="none"/>
              </w:rPr>
            </w:pPr>
            <w:r>
              <w:rPr>
                <w:rFonts w:hint="eastAsia"/>
                <w:color w:val="auto"/>
                <w:sz w:val="24"/>
                <w:highlight w:val="none"/>
              </w:rPr>
              <w:t xml:space="preserve">3.商品包装中铅、汞、镉、六价铬的总含量应不大于100mg/kg；</w:t>
            </w:r>
            <w:r>
              <w:rPr>
                <w:color w:val="auto"/>
              </w:rPr>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rPr>
                <w:color w:val="auto"/>
              </w:rPr>
            </w:r>
            <w:r/>
          </w:p>
          <w:p>
            <w:pPr>
              <w:rPr>
                <w:color w:val="auto"/>
                <w:sz w:val="24"/>
                <w:highlight w:val="none"/>
              </w:rPr>
            </w:pPr>
            <w:r>
              <w:rPr>
                <w:rFonts w:hint="eastAsia"/>
                <w:color w:val="auto"/>
                <w:sz w:val="24"/>
                <w:highlight w:val="none"/>
              </w:rPr>
              <w:t xml:space="preserve">5.塑料材质商品包装上呈现的印刷颜色不得超过6色；</w:t>
            </w:r>
            <w:r>
              <w:rPr>
                <w:color w:val="auto"/>
              </w:rPr>
            </w:r>
            <w:r/>
          </w:p>
          <w:p>
            <w:pPr>
              <w:rPr>
                <w:color w:val="auto"/>
                <w:sz w:val="24"/>
                <w:highlight w:val="none"/>
              </w:rPr>
            </w:pPr>
            <w:r>
              <w:rPr>
                <w:rFonts w:hint="eastAsia"/>
                <w:color w:val="auto"/>
                <w:sz w:val="24"/>
                <w:highlight w:val="none"/>
              </w:rPr>
              <w:t xml:space="preserve">6.纸质商品包装应使用75%以上的可再生纤维原料生产；</w:t>
            </w:r>
            <w:r>
              <w:rPr>
                <w:color w:val="auto"/>
              </w:rPr>
            </w:r>
            <w:r/>
          </w:p>
          <w:p>
            <w:pPr>
              <w:rPr>
                <w:color w:val="auto"/>
                <w:sz w:val="24"/>
                <w:highlight w:val="none"/>
              </w:rPr>
            </w:pPr>
            <w:r>
              <w:rPr>
                <w:rFonts w:hint="eastAsia"/>
                <w:color w:val="auto"/>
                <w:sz w:val="24"/>
                <w:highlight w:val="none"/>
              </w:rPr>
              <w:t xml:space="preserve">7.木质商品包装的原料应来源于可持续性森林。</w:t>
            </w:r>
            <w:r>
              <w:rPr>
                <w:color w:val="auto"/>
              </w:rPr>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auto"/>
              </w:rPr>
            </w:r>
            <w:r/>
          </w:p>
          <w:p>
            <w:pPr>
              <w:rPr>
                <w:color w:val="auto"/>
                <w:sz w:val="24"/>
                <w:highlight w:val="none"/>
              </w:rPr>
            </w:pPr>
            <w:r>
              <w:rPr>
                <w:rFonts w:hint="eastAsia"/>
                <w:color w:val="auto"/>
                <w:sz w:val="24"/>
                <w:highlight w:val="none"/>
              </w:rPr>
              <w:t xml:space="preserve">9每件包装箱内应附一份详细装箱单和质量合格凭证。</w:t>
            </w:r>
            <w:r>
              <w:rPr>
                <w:color w:val="auto"/>
              </w:rPr>
            </w:r>
            <w:r/>
          </w:p>
          <w:p>
            <w:pPr>
              <w:rPr>
                <w:color w:val="auto"/>
                <w:sz w:val="24"/>
                <w:highlight w:val="none"/>
              </w:rPr>
            </w:pPr>
            <w:r>
              <w:rPr>
                <w:color w:val="auto"/>
                <w:sz w:val="24"/>
                <w:highlight w:val="none"/>
              </w:rPr>
            </w:r>
            <w:r>
              <w:rPr>
                <w:color w:val="auto"/>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rPr>
                <w:color w:val="auto"/>
              </w:rPr>
            </w:r>
            <w:r/>
          </w:p>
        </w:tc>
        <w:tc>
          <w:tcPr>
            <w:tcW w:w="5170" w:type="dxa"/>
            <w:vAlign w:val="center"/>
            <w:textDirection w:val="lrTb"/>
            <w:noWrap w:val="false"/>
          </w:tcPr>
          <w:p>
            <w:pPr>
              <w:jc w:val="left"/>
              <w:rPr>
                <w:color w:val="auto"/>
                <w:sz w:val="24"/>
                <w:highlight w:val="none"/>
              </w:rPr>
            </w:pPr>
            <w:r>
              <w:rPr>
                <w:color w:val="auto"/>
                <w:sz w:val="24"/>
                <w:highlight w:val="none"/>
              </w:rPr>
            </w:r>
            <w:r>
              <w:rPr>
                <w:color w:val="auto"/>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第7.2款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rPr>
                <w:color w:val="auto"/>
              </w:rPr>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rPr>
                <w:color w:val="auto"/>
              </w:rPr>
            </w:r>
            <w:r/>
          </w:p>
          <w:p>
            <w:pPr>
              <w:pStyle w:val="873"/>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rPr>
                <w:color w:val="auto"/>
              </w:rPr>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rPr>
                <w:color w:val="auto"/>
              </w:rPr>
            </w:r>
            <w:r/>
          </w:p>
          <w:p>
            <w:pPr>
              <w:pStyle w:val="873"/>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rPr>
                <w:color w:val="auto"/>
              </w:rPr>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第7.3款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rPr>
                <w:color w:val="auto"/>
              </w:rPr>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第8.2（1）项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rPr>
                <w:color w:val="auto"/>
              </w:rPr>
            </w:r>
            <w:r/>
          </w:p>
        </w:tc>
        <w:tc>
          <w:tcPr>
            <w:tcW w:w="5170" w:type="dxa"/>
            <w:vAlign w:val="center"/>
            <w:textDirection w:val="lrTb"/>
            <w:noWrap w:val="false"/>
          </w:tcPr>
          <w:p>
            <w:pPr>
              <w:pStyle w:val="869"/>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第8.2（3）项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响应时间</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如在使用过程中发生质量问题，乙方在接到甲方通知后在_________小时内到达甲方现场。</w:t>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rPr>
                <w:color w:val="auto"/>
              </w:rPr>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color w:val="auto"/>
              </w:rPr>
            </w:r>
            <w:r/>
          </w:p>
          <w:p>
            <w:pPr>
              <w:pStyle w:val="869"/>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color w:val="auto"/>
              </w:rPr>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rPr>
                <w:color w:val="auto"/>
              </w:rPr>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rPr>
                <w:color w:val="auto"/>
              </w:rPr>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第12.2款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①自合同签订生效之日起，收到乙方发票10个工作日内，甲方向乙方支付合同总价的____款项作为预付款；</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②所有货物安装完毕，甲方组织初步验收，初步验收合格后收到乙方发票10个工作日内甲方向乙方支付至合同总价的____款项；</w:t>
            </w:r>
            <w:r>
              <w:rPr>
                <w:color w:val="auto"/>
              </w:rPr>
            </w:r>
            <w:r/>
          </w:p>
          <w:p>
            <w:pPr>
              <w:jc w:val="left"/>
              <w:rPr>
                <w:rFonts w:hint="eastAsia" w:ascii="宋体" w:hAnsi="宋体"/>
                <w:color w:val="auto"/>
                <w:sz w:val="24"/>
                <w:highlight w:val="none"/>
              </w:rPr>
            </w:pPr>
            <w:r>
              <w:rPr>
                <w:rFonts w:hint="eastAsia" w:ascii="宋体" w:hAnsi="宋体"/>
                <w:color w:val="auto"/>
                <w:sz w:val="24"/>
                <w:highlight w:val="none"/>
              </w:rPr>
              <w:t xml:space="preserve">③初步验收合格且项目运行满____个月后，甲方组织最终验收，最终验收合格后收到乙方发票10个工作日内甲方付清货款。</w:t>
            </w:r>
            <w:r>
              <w:rPr>
                <w:color w:val="auto"/>
              </w:rPr>
            </w:r>
            <w:r/>
          </w:p>
          <w:p>
            <w:pPr>
              <w:jc w:val="left"/>
              <w:rPr>
                <w:color w:val="auto"/>
                <w:highlight w:val="none"/>
              </w:rPr>
            </w:pPr>
            <w:r>
              <w:rPr>
                <w:rFonts w:hint="eastAsia" w:ascii="宋体" w:hAnsi="宋体"/>
                <w:color w:val="auto"/>
                <w:sz w:val="24"/>
                <w:highlight w:val="none"/>
              </w:rPr>
              <w:t xml:space="preserve">（具体验收流程双方可视实际情况调整）</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(1) 发票；</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 装箱单；</w:t>
            </w:r>
            <w:r>
              <w:rPr>
                <w:color w:val="auto"/>
              </w:rPr>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rPr>
                <w:color w:val="auto"/>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第13.2款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rPr>
                <w:color w:val="auto"/>
              </w:rPr>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rPr>
                <w:color w:val="auto"/>
              </w:rPr>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第13.3款</w:t>
            </w:r>
            <w:r>
              <w:rPr>
                <w:color w:val="auto"/>
              </w:rPr>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rPr>
                <w:color w:val="auto"/>
              </w:rPr>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color w:val="auto"/>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第14.1（3）项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第14.1（5）项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第14.1（6）项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第15.1款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rPr>
                <w:color w:val="auto"/>
              </w:rPr>
            </w:r>
            <w:r/>
          </w:p>
        </w:tc>
        <w:tc>
          <w:tcPr>
            <w:tcW w:w="5170" w:type="dxa"/>
            <w:vAlign w:val="center"/>
            <w:textDirection w:val="lrTb"/>
            <w:noWrap w:val="false"/>
          </w:tcPr>
          <w:p>
            <w:pPr>
              <w:numPr>
                <w:ilvl w:val="0"/>
                <w:numId w:val="11"/>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rPr>
                <w:color w:val="auto"/>
              </w:rPr>
            </w:r>
            <w:r/>
          </w:p>
          <w:p>
            <w:pPr>
              <w:numPr>
                <w:ilvl w:val="0"/>
                <w:numId w:val="11"/>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第15.2（2）项</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rPr>
                <w:color w:val="auto"/>
              </w:rPr>
            </w:r>
            <w:r/>
          </w:p>
          <w:p>
            <w:pPr>
              <w:jc w:val="left"/>
              <w:rPr>
                <w:rFonts w:ascii="宋体" w:hAnsi="宋体"/>
                <w:color w:val="auto"/>
                <w:sz w:val="24"/>
                <w:highlight w:val="none"/>
                <w:u w:val="single"/>
              </w:rPr>
            </w:pPr>
            <w:r>
              <w:rPr>
                <w:rFonts w:ascii="宋体" w:hAnsi="宋体"/>
                <w:color w:val="auto"/>
                <w:sz w:val="24"/>
                <w:highlight w:val="none"/>
                <w:u w:val="single"/>
              </w:rPr>
            </w:r>
            <w:r>
              <w:rPr>
                <w:color w:val="auto"/>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第15.3款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rPr>
                <w:color w:val="auto"/>
              </w:rPr>
            </w:r>
            <w:r/>
          </w:p>
        </w:tc>
        <w:tc>
          <w:tcPr>
            <w:tcW w:w="5170" w:type="dxa"/>
            <w:vAlign w:val="center"/>
            <w:textDirection w:val="lrTb"/>
            <w:noWrap w:val="false"/>
          </w:tcPr>
          <w:p>
            <w:pPr>
              <w:pStyle w:val="869"/>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rPr>
                <w:color w:val="auto"/>
              </w:rPr>
            </w:r>
            <w:r/>
          </w:p>
          <w:p>
            <w:pPr>
              <w:pStyle w:val="869"/>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rPr>
                <w:color w:val="auto"/>
              </w:rPr>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第15.4款</w:t>
            </w:r>
            <w:r>
              <w:rPr>
                <w:color w:val="auto"/>
              </w:rPr>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rPr>
                <w:color w:val="auto"/>
              </w:rPr>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rPr>
                <w:color w:val="auto"/>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第19.2款</w:t>
            </w:r>
            <w:r>
              <w:rPr>
                <w:color w:val="auto"/>
              </w:rPr>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rPr>
                <w:color w:val="auto"/>
              </w:rPr>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color w:val="auto"/>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第23.1款</w:t>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color w:val="auto"/>
              </w:rPr>
            </w:r>
            <w:r/>
          </w:p>
          <w:p>
            <w:pPr>
              <w:jc w:val="left"/>
              <w:rPr>
                <w:rFonts w:ascii="宋体" w:hAnsi="宋体"/>
                <w:color w:val="auto"/>
                <w:sz w:val="24"/>
                <w:highlight w:val="none"/>
              </w:rPr>
            </w:pPr>
            <w:r>
              <w:rPr>
                <w:rFonts w:ascii="宋体" w:hAnsi="宋体"/>
                <w:color w:val="auto"/>
                <w:sz w:val="24"/>
                <w:highlight w:val="none"/>
              </w:rPr>
            </w:r>
            <w:r>
              <w:rPr>
                <w:color w:val="auto"/>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rPr>
                <w:color w:val="auto"/>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rPr>
                <w:color w:val="auto"/>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rPr>
                <w:color w:val="auto"/>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rPr>
                <w:color w:val="auto"/>
              </w:rPr>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rPr>
                <w:color w:val="auto"/>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rPr>
                <w:color w:val="auto"/>
              </w:rPr>
            </w:r>
            <w:r/>
          </w:p>
          <w:p>
            <w:pPr>
              <w:jc w:val="left"/>
              <w:rPr>
                <w:rFonts w:ascii="宋体" w:hAnsi="宋体"/>
                <w:color w:val="auto"/>
                <w:sz w:val="24"/>
                <w:highlight w:val="none"/>
              </w:rPr>
            </w:pPr>
            <w:r>
              <w:rPr>
                <w:rFonts w:ascii="宋体" w:hAnsi="宋体"/>
                <w:color w:val="auto"/>
                <w:sz w:val="24"/>
                <w:highlight w:val="none"/>
              </w:rPr>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color w:val="auto"/>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rPr>
                <w:color w:val="auto"/>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rPr>
                <w:color w:val="auto"/>
              </w:rPr>
            </w:r>
            <w:r/>
          </w:p>
          <w:p>
            <w:pPr>
              <w:jc w:val="left"/>
              <w:rPr>
                <w:rFonts w:ascii="宋体" w:hAnsi="宋体"/>
                <w:bCs/>
                <w:color w:val="auto"/>
                <w:sz w:val="24"/>
                <w:highlight w:val="none"/>
              </w:rPr>
            </w:pPr>
            <w:r>
              <w:rPr>
                <w:rFonts w:ascii="宋体" w:hAnsi="宋体"/>
                <w:bCs/>
                <w:color w:val="auto"/>
                <w:sz w:val="24"/>
                <w:highlight w:val="none"/>
              </w:rPr>
            </w:r>
            <w:r>
              <w:rPr>
                <w:color w:val="auto"/>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color w:val="auto"/>
              </w:rPr>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4.本合同应按照中华人民共和国的现行法律进行解释。本合同未尽事宜，遵照《民法典》、《政府采购法》等有关条文执行。</w:t>
            </w:r>
            <w:r>
              <w:rPr>
                <w:color w:val="auto"/>
              </w:rPr>
            </w:r>
            <w:r/>
          </w:p>
        </w:tc>
      </w:tr>
    </w:tbl>
    <w:p>
      <w:pPr>
        <w:pStyle w:val="869"/>
        <w:jc w:val="left"/>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color w:val="auto"/>
        </w:rPr>
      </w:r>
      <w:r/>
    </w:p>
    <w:p>
      <w:pPr>
        <w:pStyle w:val="86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w:t>
      </w:r>
      <w:r>
        <w:rPr>
          <w:color w:val="auto"/>
        </w:rPr>
      </w:r>
      <w:r/>
    </w:p>
    <w:p>
      <w:pPr>
        <w:pStyle w:val="869"/>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7"/>
      <w:r>
        <w:rPr>
          <w:rFonts w:hint="eastAsia" w:ascii="黑体" w:hAnsi="宋体" w:eastAsia="黑体" w:cs="黑体"/>
          <w:color w:val="auto"/>
          <w:sz w:val="44"/>
          <w:szCs w:val="44"/>
          <w:highlight w:val="none"/>
        </w:rPr>
        <w:t xml:space="preserve">四章 采购需求</w:t>
      </w:r>
      <w:bookmarkEnd w:id="158"/>
      <w:r>
        <w:rPr>
          <w:color w:val="auto"/>
        </w:rPr>
      </w:r>
      <w:bookmarkEnd w:id="159"/>
      <w:r>
        <w:rPr>
          <w:color w:val="auto"/>
        </w:rPr>
      </w:r>
      <w:bookmarkEnd w:id="160"/>
      <w:r>
        <w:rPr>
          <w:color w:val="auto"/>
        </w:rPr>
      </w:r>
      <w:bookmarkEnd w:id="161"/>
      <w:r>
        <w:rPr>
          <w:color w:val="auto"/>
        </w:rPr>
      </w:r>
      <w:bookmarkEnd w:id="162"/>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bl>
      <w:tblPr>
        <w:tblStyle w:val="863"/>
        <w:tblW w:w="5085"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68"/>
        <w:gridCol w:w="3375"/>
        <w:gridCol w:w="800"/>
        <w:gridCol w:w="1037"/>
        <w:gridCol w:w="2488"/>
      </w:tblGrid>
      <w:tr>
        <w:trPr>
          <w:trHeight w:val="780"/>
        </w:trPr>
        <w:tc>
          <w:tcPr>
            <w:shd w:val="solid" w:color="ffffff" w:fill="ffffff"/>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r/>
          </w:p>
        </w:tc>
        <w:tc>
          <w:tcPr>
            <w:shd w:val="solid" w:color="ffffff" w:fill="ffffff"/>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工程或费用名称</w:t>
            </w:r>
            <w:r>
              <w:rPr>
                <w:color w:val="auto"/>
              </w:rPr>
            </w:r>
            <w:r/>
          </w:p>
        </w:tc>
        <w:tc>
          <w:tcPr>
            <w:shd w:val="solid" w:color="ffffff" w:fill="ffffff"/>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rPr>
                <w:color w:val="auto"/>
              </w:rPr>
            </w:r>
            <w:r/>
          </w:p>
        </w:tc>
        <w:tc>
          <w:tcPr>
            <w:shd w:val="solid" w:color="ffffff" w:fill="ffffff"/>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rPr>
                <w:color w:val="auto"/>
              </w:rPr>
            </w:r>
            <w:r/>
          </w:p>
        </w:tc>
        <w:tc>
          <w:tcPr>
            <w:shd w:val="solid" w:color="ffffff" w:fill="ffffff"/>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C40砼方桩制作、水上施打</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48.53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80根，6.5m一根</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方桩钢筋制作安装</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5.88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水上搭设桥面浇筑平台</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480.00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C30钢筋砼现浇联系梁</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84.00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含泵车费用</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C30钢筋砼现浇桥板</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42.99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C30水泥砂浆找平层</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5.78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塑木栏杆扶手及构件购置安装</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245.00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塑木地板及构件购置安装</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272.96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桥两侧塑木板及构件购置安装</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129.06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钢筋制作安装</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9.56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模板制作、安装、拆除</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595.00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耐腐蚀聚乙烯低发泡拼接板</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6.30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镀锌方管、角钢及构件制作、安装</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6.22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南湖和木栈道交接处施工</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绿化恢复</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绿化恢复指施工过程中对原有绿化破坏</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需恢复。</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17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坐凳</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张</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JK-105(A)休闲椅</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垃圾桶</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JK-2010果壳箱</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塑木栏杆扶手及构件购置</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备用材料</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塑木地板及构件购置</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备用材料</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桥两侧塑木板及构件购置</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备用材料</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22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LED灯带购置安装</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300.00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与</w:t>
            </w:r>
            <w:r>
              <w:rPr>
                <w:rFonts w:hint="eastAsia" w:ascii="宋体" w:hAnsi="宋体" w:eastAsia="宋体" w:cs="宋体"/>
                <w:color w:val="auto"/>
                <w:sz w:val="24"/>
                <w:szCs w:val="24"/>
              </w:rPr>
              <w:t xml:space="preserve">南湖原有灯带一致</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23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购置小船</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座</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304不锈钢，1.5mm厚，3.5米渔船：长3.5米，宽1.25米，高0.35米。</w:t>
            </w:r>
            <w:r>
              <w:rPr>
                <w:color w:val="auto"/>
              </w:rPr>
            </w:r>
            <w:r/>
          </w:p>
        </w:tc>
      </w:tr>
      <w:tr>
        <w:trPr>
          <w:trHeight w:val="600"/>
        </w:trPr>
        <w:tc>
          <w:tcPr>
            <w:tcW w:w="55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24 </w:t>
            </w:r>
            <w:r>
              <w:rPr>
                <w:color w:val="auto"/>
              </w:rPr>
            </w:r>
            <w:r/>
          </w:p>
        </w:tc>
        <w:tc>
          <w:tcPr>
            <w:tcW w:w="194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车阻</w:t>
            </w:r>
            <w:r>
              <w:rPr>
                <w:color w:val="auto"/>
              </w:rPr>
            </w:r>
            <w:r/>
          </w:p>
        </w:tc>
        <w:tc>
          <w:tcPr>
            <w:tcW w:w="461"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20.00 </w:t>
            </w:r>
            <w:r>
              <w:rPr>
                <w:color w:val="auto"/>
              </w:rPr>
            </w:r>
            <w:r/>
          </w:p>
        </w:tc>
        <w:tc>
          <w:tcPr>
            <w:tcW w:w="1435"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镀锌材质 高度30cm</w:t>
            </w:r>
            <w:r>
              <w:rPr>
                <w:color w:val="auto"/>
              </w:rPr>
            </w:r>
            <w:r/>
          </w:p>
        </w:tc>
      </w:tr>
    </w:tbl>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r/>
    </w:p>
    <w:p>
      <w:pPr>
        <w:pStyle w:val="8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说明：</w:t>
      </w:r>
      <w:r>
        <w:rPr>
          <w:rFonts w:hint="eastAsia" w:ascii="宋体" w:hAnsi="宋体" w:eastAsia="宋体" w:cs="宋体"/>
          <w:color w:val="auto"/>
          <w:sz w:val="24"/>
          <w:szCs w:val="24"/>
          <w:highlight w:val="none"/>
        </w:rPr>
        <w:t xml:space="preserve">投标人提供的货物必须是生产企业原厂生产的、全新的、未使用过的，完全符合国家和原厂质量检测标准，并具有产品质量检验合格证。</w:t>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ind w:firstLine="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jc w:val="both"/>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tab/>
      </w:r>
      <w:r>
        <w:rPr>
          <w:color w:val="auto"/>
        </w:rPr>
      </w:r>
      <w:r/>
    </w:p>
    <w:p>
      <w:pPr>
        <w:rPr>
          <w:color w:val="auto"/>
          <w:highlight w:val="none"/>
        </w:rPr>
      </w:pP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ind w:firstLine="441"/>
        <w:spacing w:before="120" w:beforeAutospacing="0" w:after="120" w:afterAutospacing="0" w:line="360" w:lineRule="auto"/>
        <w:rPr>
          <w:rFonts w:hint="eastAsia" w:ascii="宋体" w:hAnsi="宋体" w:eastAsia="宋体" w:cs="宋体"/>
          <w:b/>
          <w:bCs/>
          <w:color w:val="auto"/>
        </w:rPr>
      </w:pPr>
      <w:r>
        <w:rPr>
          <w:rFonts w:hint="eastAsia" w:ascii="宋体" w:hAnsi="宋体" w:eastAsia="宋体" w:cs="宋体"/>
          <w:b/>
          <w:bCs/>
          <w:color w:val="auto"/>
        </w:rPr>
        <w:t xml:space="preserve">一、定标原则</w:t>
      </w:r>
      <w:r>
        <w:rPr>
          <w:color w:val="auto"/>
        </w:rPr>
      </w:r>
      <w:r/>
    </w:p>
    <w:p>
      <w:pPr>
        <w:pStyle w:val="869"/>
        <w:ind w:firstLine="441"/>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本项目采用</w:t>
      </w:r>
      <w:r>
        <w:rPr>
          <w:rFonts w:hint="eastAsia" w:ascii="宋体" w:hAnsi="宋体" w:eastAsia="宋体" w:cs="宋体"/>
          <w:color w:val="auto"/>
          <w:u w:val="single"/>
        </w:rPr>
        <w:t xml:space="preserve"> 最低投标价 </w:t>
      </w:r>
      <w:r>
        <w:rPr>
          <w:rFonts w:hint="eastAsia" w:ascii="宋体" w:hAnsi="宋体" w:eastAsia="宋体" w:cs="宋体"/>
          <w:color w:val="auto"/>
        </w:rPr>
        <w:t xml:space="preserve">法。评标结果按报价由低到高顺序排列。报价相同的，由评标委员会组织通过抽签的方式确定中标候选人的排序。投标文件满足招标文件全部实质性要求，且报价最低的投标人为排名第一的中标候选人，本项目选取1名中标候选人。</w:t>
      </w:r>
      <w:r>
        <w:rPr>
          <w:color w:val="auto"/>
        </w:rPr>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二、政府采购政策功能落实</w:t>
      </w:r>
      <w:r>
        <w:rPr>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1、本项目专门面向小微企业采购，不再对小型和微型企业报价给予价格扣除。</w:t>
      </w:r>
      <w:r>
        <w:rPr>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2、残疾人福利单位价格扣除</w:t>
      </w:r>
      <w:r>
        <w:rPr>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（1）残疾人福利单位需按照采购文件的要求提供《残疾人福利性单位声明函》。</w:t>
      </w:r>
      <w:r>
        <w:rPr>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（2）残疾人福利单位标准请参照《关于促进残疾人就业政府采购政策的通知》（财库〔2017〕141号）。</w:t>
      </w:r>
      <w:r>
        <w:rPr>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3、监狱和戒毒企业价格扣除</w:t>
      </w:r>
      <w:r>
        <w:rPr>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（1）监狱企业参加政府采购活动时，需提供由省级以上监狱管理局、戒毒管理局(含新疆生产建设兵团)出具的属于监狱企业的证明文件。供应商如不提供上述证明文件，价格将不做相应扣除。</w:t>
      </w:r>
      <w:r>
        <w:rPr>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（2）监狱企业标准请参照《关于政府采购支持监狱企业发展有关问题的通知》（财库[2014]68号）。</w:t>
      </w:r>
      <w:r>
        <w:rPr>
          <w:color w:val="auto"/>
        </w:rPr>
      </w:r>
      <w:r/>
    </w:p>
    <w:p>
      <w:pPr>
        <w:pStyle w:val="869"/>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4、残疾人福利单位、监狱企业属于小型、微型企业的，不重复享受政策。</w:t>
      </w:r>
      <w:r>
        <w:rPr>
          <w:rFonts w:hint="eastAsia" w:ascii="宋体" w:hAnsi="宋体" w:eastAsia="宋体" w:cs="宋体"/>
          <w:color w:val="auto"/>
          <w:sz w:val="24"/>
          <w:szCs w:val="24"/>
          <w:highlight w:val="none"/>
        </w:rPr>
        <w:t xml:space="preserve"> </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rPr>
      </w:r>
      <w:r/>
    </w:p>
    <w:p>
      <w:pPr>
        <w:pStyle w:val="869"/>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rPr>
          <w:color w:val="auto"/>
        </w:rPr>
      </w:r>
      <w:r/>
    </w:p>
    <w:p>
      <w:pPr>
        <w:pStyle w:val="869"/>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color w:val="auto"/>
        </w:rPr>
      </w:r>
      <w:r/>
    </w:p>
    <w:p>
      <w:pPr>
        <w:pStyle w:val="869"/>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color w:val="auto"/>
        </w:rPr>
      </w:r>
      <w:r/>
    </w:p>
    <w:p>
      <w:pPr>
        <w:pStyle w:val="869"/>
        <w:jc w:val="center"/>
        <w:spacing w:beforeAutospacing="0" w:afterAutospacing="0"/>
        <w:rPr>
          <w:color w:val="auto"/>
          <w:highlight w:val="none"/>
        </w:rPr>
      </w:pPr>
      <w:r>
        <w:rPr>
          <w:color w:val="auto"/>
        </w:rPr>
      </w:r>
      <w:bookmarkStart w:id="171" w:name="_Toc120614282"/>
      <w:r>
        <w:rPr>
          <w:color w:val="auto"/>
        </w:rPr>
      </w:r>
      <w:bookmarkEnd w:id="171"/>
      <w:r>
        <w:rPr>
          <w:color w:val="auto"/>
        </w:rPr>
      </w:r>
      <w:bookmarkStart w:id="172" w:name="_Toc49090576"/>
      <w:r>
        <w:rPr>
          <w:color w:val="auto"/>
        </w:rPr>
      </w:r>
      <w:bookmarkEnd w:id="172"/>
      <w:r>
        <w:rPr>
          <w:color w:val="auto"/>
        </w:rPr>
      </w:r>
      <w:bookmarkStart w:id="173" w:name="_Toc26554094"/>
      <w:r>
        <w:rPr>
          <w:color w:val="auto"/>
        </w:rPr>
      </w:r>
      <w:bookmarkStart w:id="174" w:name="_Hlt26955039"/>
      <w:r>
        <w:rPr>
          <w:color w:val="auto"/>
        </w:rPr>
      </w:r>
      <w:bookmarkStart w:id="175" w:name="_Hlt26671244"/>
      <w:r>
        <w:rPr>
          <w:rFonts w:hint="eastAsia" w:ascii="宋体" w:hAnsi="宋体" w:eastAsia="宋体" w:cs="宋体"/>
          <w:b/>
          <w:color w:val="auto"/>
          <w:sz w:val="72"/>
          <w:szCs w:val="72"/>
          <w:highlight w:val="none"/>
        </w:rPr>
        <w:t xml:space="preserve">投  标  文  件</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rPr>
          <w:color w:val="auto"/>
        </w:rPr>
      </w:r>
      <w:r/>
    </w:p>
    <w:p>
      <w:pPr>
        <w:pStyle w:val="86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rPr>
          <w:color w:val="auto"/>
        </w:rPr>
      </w:r>
      <w:r/>
    </w:p>
    <w:p>
      <w:pPr>
        <w:pStyle w:val="86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rPr>
          <w:color w:val="auto"/>
        </w:rPr>
      </w:r>
      <w:r/>
    </w:p>
    <w:p>
      <w:pPr>
        <w:pStyle w:val="86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rPr>
          <w:color w:val="auto"/>
        </w:rPr>
      </w:r>
      <w:r/>
    </w:p>
    <w:p>
      <w:pPr>
        <w:ind w:firstLine="480"/>
        <w:jc w:val="left"/>
        <w:tabs>
          <w:tab w:val="left" w:pos="1331" w:leader="none"/>
        </w:tabs>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rPr>
          <w:color w:val="auto"/>
        </w:rPr>
      </w:r>
      <w:r/>
    </w:p>
    <w:p>
      <w:pPr>
        <w:pStyle w:val="869"/>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rPr>
          <w:color w:val="auto"/>
        </w:rPr>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rPr>
          <w:color w:val="auto"/>
        </w:rPr>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十一、联合体协议</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十二、投标分项报价表</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rPr>
          <w:color w:val="auto"/>
        </w:rPr>
      </w:r>
      <w:r/>
    </w:p>
    <w:p>
      <w:pPr>
        <w:pStyle w:val="8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rPr>
          <w:color w:val="auto"/>
        </w:rPr>
      </w:r>
      <w:r/>
    </w:p>
    <w:p>
      <w:pPr>
        <w:pStyle w:val="869"/>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rPr>
          <w:color w:val="auto"/>
        </w:rPr>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rPr>
          <w:color w:val="auto"/>
        </w:rPr>
      </w:r>
      <w:r/>
    </w:p>
    <w:p>
      <w:pPr>
        <w:pStyle w:val="869"/>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rPr>
          <w:rFonts w:hint="eastAsia" w:eastAsia="黑体"/>
          <w:color w:val="auto"/>
          <w:highlight w:val="none"/>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rPr>
          <w:color w:val="auto"/>
        </w:rPr>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rPr>
          <w:color w:val="auto"/>
        </w:rPr>
      </w:r>
      <w:r/>
    </w:p>
    <w:p>
      <w:pPr>
        <w:pStyle w:val="86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rPr>
          <w:color w:val="auto"/>
        </w:rPr>
      </w:r>
      <w:r/>
    </w:p>
    <w:p>
      <w:pPr>
        <w:pStyle w:val="86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rPr>
      </w:r>
      <w:r/>
    </w:p>
    <w:p>
      <w:pPr>
        <w:pStyle w:val="86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rPr>
      </w:r>
      <w:r/>
    </w:p>
    <w:p>
      <w:pPr>
        <w:pStyle w:val="86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rPr>
          <w:color w:val="auto"/>
        </w:rPr>
      </w:r>
      <w:r/>
    </w:p>
    <w:p>
      <w:pPr>
        <w:pStyle w:val="869"/>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color w:val="auto"/>
        </w:rPr>
      </w:r>
      <w:r/>
    </w:p>
    <w:p>
      <w:pPr>
        <w:pStyle w:val="869"/>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rPr>
          <w:color w:val="auto"/>
        </w:rPr>
      </w:r>
      <w:r/>
    </w:p>
    <w:p>
      <w:pPr>
        <w:pStyle w:val="869"/>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rPr>
          <w:color w:val="auto"/>
        </w:rPr>
      </w:r>
      <w:r/>
    </w:p>
    <w:p>
      <w:pPr>
        <w:pStyle w:val="869"/>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rPr>
          <w:color w:val="auto"/>
        </w:rPr>
      </w:r>
      <w:r/>
    </w:p>
    <w:p>
      <w:pPr>
        <w:pStyle w:val="86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rPr>
          <w:color w:val="auto"/>
        </w:rPr>
      </w:r>
      <w:r/>
    </w:p>
    <w:p>
      <w:pPr>
        <w:pStyle w:val="869"/>
        <w:jc w:val="center"/>
        <w:spacing w:beforeAutospacing="0" w:afterAutospacing="0"/>
        <w:rPr>
          <w:rFonts w:ascii="黑体" w:hAnsi="宋体" w:eastAsia="黑体" w:cs="黑体"/>
          <w:i/>
          <w:color w:val="auto"/>
          <w:sz w:val="32"/>
          <w:szCs w:val="32"/>
          <w:highlight w:val="none"/>
          <w:u w:val="single"/>
        </w:rPr>
      </w:pPr>
      <w:r>
        <w:rPr>
          <w:color w:val="auto"/>
        </w:rPr>
      </w:r>
      <w:bookmarkStart w:id="176" w:name="_Toc120614284"/>
      <w:r>
        <w:rPr>
          <w:color w:val="auto"/>
        </w:rPr>
      </w:r>
      <w:r/>
    </w:p>
    <w:p>
      <w:pPr>
        <w:pStyle w:val="86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rPr>
          <w:color w:val="auto"/>
        </w:rPr>
      </w:r>
      <w:r/>
    </w:p>
    <w:p>
      <w:pPr>
        <w:pStyle w:val="86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p>
    <w:p>
      <w:pPr>
        <w:pStyle w:val="86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6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6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6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color w:val="auto"/>
        </w:rPr>
      </w:r>
      <w:r/>
    </w:p>
    <w:p>
      <w:pPr>
        <w:pStyle w:val="86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rPr>
          <w:color w:val="auto"/>
        </w:rPr>
      </w:r>
      <w:r/>
    </w:p>
    <w:p>
      <w:pPr>
        <w:pStyle w:val="869"/>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rPr>
          <w:color w:val="auto"/>
        </w:rPr>
      </w:r>
      <w:r/>
    </w:p>
    <w:p>
      <w:pPr>
        <w:pStyle w:val="8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rPr>
          <w:color w:val="auto"/>
        </w:rPr>
      </w:r>
      <w:r/>
    </w:p>
    <w:p>
      <w:pPr>
        <w:pStyle w:val="8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rPr>
          <w:color w:val="auto"/>
        </w:rPr>
      </w:r>
      <w:r/>
    </w:p>
    <w:p>
      <w:pPr>
        <w:pStyle w:val="869"/>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rPr>
          <w:color w:val="auto"/>
        </w:rPr>
      </w:r>
      <w:r/>
    </w:p>
    <w:p>
      <w:pPr>
        <w:pStyle w:val="869"/>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rPr>
          <w:color w:val="auto"/>
        </w:rPr>
      </w:r>
      <w:r/>
    </w:p>
    <w:p>
      <w:pPr>
        <w:pStyle w:val="8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rPr>
          <w:color w:val="auto"/>
        </w:rPr>
      </w:r>
      <w:r/>
    </w:p>
    <w:p>
      <w:pPr>
        <w:pStyle w:val="8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rPr>
          <w:color w:val="auto"/>
        </w:rPr>
      </w:r>
      <w:r/>
    </w:p>
    <w:p>
      <w:pPr>
        <w:pStyle w:val="8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77" w:name="_Hlt26955070"/>
      <w:r>
        <w:rPr>
          <w:color w:val="auto"/>
        </w:rPr>
      </w:r>
      <w:bookmarkStart w:id="178" w:name="_格式3__银行出具的资信证明"/>
      <w:r>
        <w:rPr>
          <w:color w:val="auto"/>
        </w:rPr>
      </w:r>
      <w:bookmarkStart w:id="179" w:name="_Hlt26671380"/>
      <w:r>
        <w:rPr>
          <w:rFonts w:ascii="Times New Roman" w:hAnsi="Times New Roman"/>
          <w:color w:val="auto"/>
          <w:highlight w:val="none"/>
          <w:u w:val="single"/>
        </w:rPr>
        <w:t xml:space="preserve">                                         </w:t>
      </w:r>
      <w:r>
        <w:rPr>
          <w:color w:val="auto"/>
        </w:rPr>
      </w:r>
      <w:r/>
    </w:p>
    <w:p>
      <w:pPr>
        <w:pStyle w:val="869"/>
        <w:ind w:firstLine="420"/>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rPr>
          <w:color w:val="auto"/>
        </w:rPr>
      </w:r>
      <w:r/>
    </w:p>
    <w:p>
      <w:pPr>
        <w:pStyle w:val="869"/>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八、投标函</w:t>
      </w:r>
      <w:r>
        <w:rPr>
          <w:color w:val="auto"/>
        </w:rPr>
      </w:r>
      <w:r/>
    </w:p>
    <w:p>
      <w:pPr>
        <w:pStyle w:val="869"/>
        <w:spacing w:beforeAutospacing="0" w:afterAutospacing="0" w:line="0" w:lineRule="atLeast"/>
        <w:rPr>
          <w:color w:val="auto"/>
          <w:highlight w:val="none"/>
        </w:rPr>
      </w:pPr>
      <w:r>
        <w:rPr>
          <w:rFonts w:hint="eastAsia" w:ascii="宋体" w:hAnsi="宋体" w:eastAsia="宋体" w:cs="宋体"/>
          <w:color w:val="auto"/>
          <w:highlight w:val="none"/>
        </w:rPr>
        <w:t xml:space="preserve">致：滨海县城市管理局</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rPr>
          <w:color w:val="auto"/>
        </w:rPr>
      </w:r>
      <w:r/>
    </w:p>
    <w:p>
      <w:pPr>
        <w:pStyle w:val="8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rPr>
          <w:color w:val="auto"/>
        </w:rPr>
      </w:r>
      <w:r/>
    </w:p>
    <w:p>
      <w:pPr>
        <w:pStyle w:val="869"/>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rPr>
          <w:color w:val="auto"/>
        </w:rPr>
      </w:r>
      <w:r/>
    </w:p>
    <w:p>
      <w:pPr>
        <w:pStyle w:val="8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rPr>
          <w:color w:val="auto"/>
        </w:rPr>
      </w:r>
      <w:r/>
    </w:p>
    <w:p>
      <w:pPr>
        <w:pStyle w:val="8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rPr>
          <w:color w:val="auto"/>
        </w:rPr>
      </w:r>
      <w:r/>
    </w:p>
    <w:p>
      <w:pPr>
        <w:pStyle w:val="8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rPr>
          <w:color w:val="auto"/>
        </w:rPr>
      </w:r>
      <w:r/>
    </w:p>
    <w:p>
      <w:pPr>
        <w:pStyle w:val="8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rPr>
          <w:color w:val="auto"/>
        </w:rPr>
      </w:r>
      <w:r/>
    </w:p>
    <w:p>
      <w:pPr>
        <w:pStyle w:val="8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rPr>
          <w:color w:val="auto"/>
        </w:rPr>
      </w:r>
      <w:r/>
    </w:p>
    <w:p>
      <w:pPr>
        <w:pStyle w:val="8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rPr>
          <w:color w:val="auto"/>
        </w:rPr>
      </w:r>
      <w:r/>
    </w:p>
    <w:p>
      <w:pPr>
        <w:pStyle w:val="8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rPr>
          <w:color w:val="auto"/>
        </w:rPr>
      </w:r>
      <w:r/>
    </w:p>
    <w:p>
      <w:pPr>
        <w:pStyle w:val="869"/>
        <w:ind w:firstLine="240"/>
        <w:jc w:val="center"/>
        <w:spacing w:beforeAutospacing="0" w:afterAutospacing="0" w:line="0" w:lineRule="atLeast"/>
        <w:rPr>
          <w:color w:val="auto"/>
          <w:highlight w:val="none"/>
        </w:rPr>
      </w:pPr>
      <w:r>
        <w:rPr>
          <w:color w:val="auto"/>
          <w:highlight w:val="none"/>
        </w:rPr>
        <w:t xml:space="preserve"> </w:t>
      </w:r>
      <w:r>
        <w:rPr>
          <w:color w:val="auto"/>
        </w:rPr>
      </w:r>
      <w:r/>
    </w:p>
    <w:p>
      <w:pPr>
        <w:pStyle w:val="869"/>
        <w:ind w:firstLine="240"/>
        <w:jc w:val="center"/>
        <w:spacing w:beforeAutospacing="0" w:afterAutospacing="0" w:line="0" w:lineRule="atLeast"/>
        <w:rPr>
          <w:color w:val="auto"/>
          <w:highlight w:val="none"/>
        </w:rPr>
      </w:pPr>
      <w:r>
        <w:rPr>
          <w:color w:val="auto"/>
          <w:highlight w:val="none"/>
        </w:rPr>
        <w:t xml:space="preserve"> </w:t>
      </w:r>
      <w:r>
        <w:rPr>
          <w:color w:val="auto"/>
        </w:rPr>
      </w:r>
      <w:r/>
    </w:p>
    <w:p>
      <w:pPr>
        <w:pStyle w:val="869"/>
        <w:ind w:firstLine="240"/>
        <w:jc w:val="center"/>
        <w:spacing w:beforeAutospacing="0" w:afterAutospacing="0" w:line="0" w:lineRule="atLeast"/>
        <w:rPr>
          <w:color w:val="auto"/>
          <w:highlight w:val="none"/>
        </w:rPr>
      </w:pPr>
      <w:r>
        <w:rPr>
          <w:color w:val="auto"/>
          <w:highlight w:val="none"/>
        </w:rPr>
        <w:t xml:space="preserve"> </w:t>
      </w:r>
      <w:r>
        <w:rPr>
          <w:color w:val="auto"/>
        </w:rPr>
      </w:r>
      <w:r/>
    </w:p>
    <w:p>
      <w:pPr>
        <w:pStyle w:val="869"/>
        <w:ind w:firstLine="240"/>
        <w:jc w:val="center"/>
        <w:spacing w:beforeAutospacing="0" w:afterAutospacing="0" w:line="0" w:lineRule="atLeast"/>
        <w:rPr>
          <w:color w:val="auto"/>
          <w:highlight w:val="none"/>
        </w:rPr>
      </w:pPr>
      <w:r>
        <w:rPr>
          <w:color w:val="auto"/>
          <w:highlight w:val="none"/>
        </w:rPr>
        <w:t xml:space="preserve"> </w:t>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r>
      <w:r>
        <w:rPr>
          <w:color w:val="auto"/>
        </w:rPr>
      </w:r>
      <w:r/>
    </w:p>
    <w:p>
      <w:pPr>
        <w:pStyle w:val="869"/>
        <w:ind w:firstLine="240"/>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color w:val="auto"/>
        </w:rPr>
      </w:r>
      <w:r/>
    </w:p>
    <w:p>
      <w:pPr>
        <w:ind w:firstLine="480"/>
        <w:jc w:val="both"/>
        <w:spacing w:line="500" w:lineRule="exact"/>
        <w:rPr>
          <w:rFonts w:hint="eastAsia"/>
          <w:color w:val="auto"/>
          <w:sz w:val="24"/>
          <w:highlight w:val="none"/>
        </w:rPr>
      </w:pPr>
      <w:r>
        <w:rPr>
          <w:rFonts w:hint="eastAsia"/>
          <w:color w:val="auto"/>
          <w:sz w:val="24"/>
          <w:highlight w:val="none"/>
        </w:rPr>
      </w:r>
      <w:r>
        <w:rPr>
          <w:color w:val="auto"/>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rPr>
          <w:color w:val="auto"/>
        </w:rPr>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rPr>
          <w:color w:val="auto"/>
        </w:rPr>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rPr>
          <w:color w:val="auto"/>
        </w:rPr>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rPr>
          <w:color w:val="auto"/>
        </w:rPr>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rPr>
          <w:color w:val="auto"/>
        </w:rPr>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rPr>
          <w:color w:val="auto"/>
        </w:rPr>
      </w:r>
      <w:r/>
    </w:p>
    <w:p>
      <w:pPr>
        <w:pStyle w:val="869"/>
        <w:ind w:right="720"/>
        <w:jc w:val="both"/>
        <w:spacing w:before="0" w:beforeAutospacing="0" w:after="0" w:afterAutospacing="0" w:line="360" w:lineRule="auto"/>
        <w:widowControl w:val="off"/>
        <w:rPr>
          <w:color w:val="auto"/>
          <w:highlight w:val="none"/>
        </w:rPr>
      </w:pPr>
      <w:r>
        <w:rPr>
          <w:color w:val="auto"/>
          <w:highlight w:val="none"/>
        </w:rPr>
        <w:t xml:space="preserve"> </w:t>
      </w:r>
      <w:r>
        <w:rPr>
          <w:color w:val="auto"/>
        </w:rPr>
      </w:r>
      <w:r/>
    </w:p>
    <w:p>
      <w:pPr>
        <w:pStyle w:val="869"/>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rPr>
          <w:color w:val="auto"/>
        </w:rPr>
      </w:r>
      <w:r/>
    </w:p>
    <w:p>
      <w:pPr>
        <w:pStyle w:val="869"/>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rPr>
          <w:color w:val="auto"/>
        </w:rPr>
      </w:r>
      <w:r/>
    </w:p>
    <w:p>
      <w:pPr>
        <w:pStyle w:val="869"/>
        <w:ind w:firstLine="360"/>
        <w:jc w:val="both"/>
        <w:spacing w:before="0" w:beforeAutospacing="0" w:after="0" w:afterAutospacing="0" w:line="360" w:lineRule="auto"/>
        <w:widowControl w:val="off"/>
        <w:rPr>
          <w:color w:val="auto"/>
          <w:highlight w:val="none"/>
        </w:rPr>
      </w:pPr>
      <w:r>
        <w:rPr>
          <w:color w:val="auto"/>
          <w:highlight w:val="none"/>
        </w:rPr>
        <w:t xml:space="preserve"> </w:t>
      </w:r>
      <w:r>
        <w:rPr>
          <w:color w:val="auto"/>
        </w:rPr>
      </w:r>
      <w:r/>
    </w:p>
    <w:p>
      <w:pPr>
        <w:pStyle w:val="869"/>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rPr>
          <w:color w:val="auto"/>
        </w:rPr>
      </w:r>
      <w:r/>
    </w:p>
    <w:p>
      <w:pPr>
        <w:pStyle w:val="869"/>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rPr>
          <w:color w:val="auto"/>
        </w:rPr>
      </w:r>
      <w:r/>
    </w:p>
    <w:p>
      <w:pPr>
        <w:pStyle w:val="8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 十、残疾人福利性单位声明函</w:t>
      </w:r>
      <w:r>
        <w:rPr>
          <w:color w:val="auto"/>
        </w:rPr>
      </w:r>
      <w:r/>
    </w:p>
    <w:p>
      <w:pPr>
        <w:pStyle w:val="8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rPr>
          <w:color w:val="auto"/>
        </w:rPr>
      </w:r>
      <w:r/>
    </w:p>
    <w:p>
      <w:pPr>
        <w:pStyle w:val="8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rPr>
          <w:color w:val="auto"/>
        </w:rPr>
      </w:r>
      <w:r/>
    </w:p>
    <w:p>
      <w:pPr>
        <w:pStyle w:val="869"/>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color w:val="auto"/>
        </w:rPr>
      </w:r>
      <w:r/>
    </w:p>
    <w:p>
      <w:pPr>
        <w:pStyle w:val="869"/>
        <w:ind w:firstLine="624"/>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rPr>
          <w:color w:val="auto"/>
        </w:rPr>
      </w:r>
      <w:r/>
    </w:p>
    <w:p>
      <w:pPr>
        <w:pStyle w:val="869"/>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color w:val="auto"/>
          <w:highlight w:val="none"/>
        </w:rPr>
        <w:t xml:space="preserve"> </w:t>
      </w:r>
      <w:r>
        <w:rPr>
          <w:color w:val="auto"/>
        </w:rPr>
      </w:r>
      <w:r/>
    </w:p>
    <w:p>
      <w:pPr>
        <w:pStyle w:val="86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w:t>
      </w:r>
      <w:r>
        <w:rPr>
          <w:color w:val="auto"/>
        </w:rPr>
      </w:r>
      <w:r/>
    </w:p>
    <w:p>
      <w:pPr>
        <w:pStyle w:val="86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rPr>
          <w:color w:val="auto"/>
        </w:rPr>
      </w:r>
      <w:r/>
    </w:p>
    <w:p>
      <w:pPr>
        <w:pStyle w:val="869"/>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rPr>
          <w:color w:val="auto"/>
        </w:rPr>
      </w:r>
      <w:r/>
    </w:p>
    <w:p>
      <w:pPr>
        <w:pStyle w:val="869"/>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auto"/>
        </w:rPr>
      </w:r>
      <w:r/>
    </w:p>
    <w:p>
      <w:pPr>
        <w:pStyle w:val="869"/>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rPr>
      </w:r>
      <w:r/>
    </w:p>
    <w:p>
      <w:pPr>
        <w:pStyle w:val="869"/>
        <w:ind w:firstLine="645"/>
        <w:jc w:val="both"/>
        <w:spacing w:beforeAutospacing="0" w:afterAutospacing="0" w:line="0" w:lineRule="atLeast"/>
        <w:rPr>
          <w:color w:val="auto"/>
          <w:highlight w:val="none"/>
        </w:rPr>
      </w:pPr>
      <w:r>
        <w:rPr>
          <w:color w:val="auto"/>
          <w:highlight w:val="none"/>
        </w:rPr>
        <w:t xml:space="preserve"> </w:t>
      </w:r>
      <w:r>
        <w:rPr>
          <w:color w:val="auto"/>
        </w:rPr>
      </w:r>
      <w:r/>
    </w:p>
    <w:p>
      <w:pPr>
        <w:pStyle w:val="869"/>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rPr>
          <w:color w:val="auto"/>
        </w:rPr>
      </w:r>
      <w:r/>
    </w:p>
    <w:p>
      <w:pPr>
        <w:pStyle w:val="869"/>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color w:val="auto"/>
        </w:rPr>
      </w:r>
      <w:r/>
    </w:p>
    <w:p>
      <w:pPr>
        <w:pStyle w:val="869"/>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rPr>
          <w:color w:val="auto"/>
        </w:rPr>
      </w:r>
      <w:r/>
    </w:p>
    <w:p>
      <w:pPr>
        <w:pStyle w:val="869"/>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w:t>
      </w:r>
      <w:r>
        <w:rPr>
          <w:color w:val="auto"/>
        </w:rPr>
      </w:r>
      <w:r/>
    </w:p>
    <w:p>
      <w:pPr>
        <w:pStyle w:val="869"/>
        <w:ind w:firstLine="645"/>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r>
      <w:r>
        <w:rPr>
          <w:color w:val="auto"/>
          <w:highlight w:val="none"/>
        </w:rPr>
      </w:r>
    </w:p>
    <w:p>
      <w:pPr>
        <w:pStyle w:val="869"/>
        <w:jc w:val="both"/>
        <w:spacing w:beforeAutospacing="0" w:afterAutospacing="0" w:line="0" w:lineRule="atLeast"/>
        <w:rPr>
          <w:color w:val="auto"/>
          <w:highlight w:val="none"/>
        </w:rPr>
      </w:pPr>
      <w:r>
        <w:rPr>
          <w:color w:val="auto"/>
          <w:highlight w:val="none"/>
        </w:rPr>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line="0" w:lineRule="atLeast"/>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numPr>
          <w:ilvl w:val="0"/>
          <w:numId w:val="12"/>
        </w:numPr>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投标分项报价表</w:t>
      </w:r>
      <w:r>
        <w:rPr>
          <w:color w:val="auto"/>
        </w:rPr>
      </w:r>
      <w:r/>
    </w:p>
    <w:tbl>
      <w:tblPr>
        <w:tblStyle w:val="863"/>
        <w:tblW w:w="499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0"/>
        <w:gridCol w:w="2163"/>
        <w:gridCol w:w="700"/>
        <w:gridCol w:w="962"/>
        <w:gridCol w:w="950"/>
        <w:gridCol w:w="845"/>
        <w:gridCol w:w="2117"/>
      </w:tblGrid>
      <w:tr>
        <w:trPr>
          <w:trHeight w:val="780"/>
        </w:trPr>
        <w:tc>
          <w:tcPr>
            <w:shd w:val="solid" w:color="ffffff" w:fill="ffffff"/>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r/>
          </w:p>
        </w:tc>
        <w:tc>
          <w:tcPr>
            <w:shd w:val="solid" w:color="ffffff" w:fill="ffffff"/>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工程或费用名称</w:t>
            </w:r>
            <w:r>
              <w:rPr>
                <w:color w:val="auto"/>
              </w:rPr>
            </w:r>
            <w:r/>
          </w:p>
        </w:tc>
        <w:tc>
          <w:tcPr>
            <w:shd w:val="solid" w:color="ffffff" w:fill="ffffff"/>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rPr>
                <w:color w:val="auto"/>
              </w:rPr>
            </w:r>
            <w:r/>
          </w:p>
        </w:tc>
        <w:tc>
          <w:tcPr>
            <w:shd w:val="solid" w:color="ffffff" w:fill="ffffff"/>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rPr>
                <w:color w:val="auto"/>
              </w:rPr>
            </w:r>
            <w:r/>
          </w:p>
        </w:tc>
        <w:tc>
          <w:tcPr>
            <w:shd w:val="solid" w:color="ffffff" w:fill="ffffff"/>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单价（元）</w:t>
            </w:r>
            <w:r>
              <w:rPr>
                <w:color w:val="auto"/>
              </w:rPr>
            </w:r>
            <w:r/>
          </w:p>
        </w:tc>
        <w:tc>
          <w:tcPr>
            <w:shd w:val="solid" w:color="ffffff" w:fill="ffffff"/>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合价（元）</w:t>
            </w:r>
            <w:r>
              <w:rPr>
                <w:color w:val="auto"/>
              </w:rPr>
            </w:r>
            <w:r/>
          </w:p>
        </w:tc>
        <w:tc>
          <w:tcPr>
            <w:shd w:val="solid" w:color="ffffff" w:fill="ffffff"/>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C40砼方桩制作、水上施打</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48.53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80根，6.5m一根</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方桩钢筋制作安装</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5.88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水上搭设桥面浇筑平台</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480.00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C30钢筋砼现浇联系梁</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84.00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含泵车费用</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C30钢筋砼现浇桥板</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42.99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C30水泥砂浆找平层</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m3</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5.78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塑木栏杆扶手及构件购置安装</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245.00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塑木地板及构件购置安装</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272.96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桥两侧塑木板及构件购置安装</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129.06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钢筋制作安装</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9.56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模板制作、安装、拆除</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595.00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耐腐蚀聚乙烯低发泡拼接板</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6.30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镀锌方管、角钢及构件制作、安装</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6.22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南湖和木栈道交接处施工</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详见图纸</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绿化恢复</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绿化恢复指施工过程中对原有绿化破坏</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需恢复。</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17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坐凳</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张</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JK-105(A)休闲椅</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垃圾桶</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JK-2010果壳箱</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塑木栏杆扶手及构件购置</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备用材料</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塑木地板及构件购置</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备用材料</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桥两侧塑木板及构件购置</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m2</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备用材料</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22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LED灯带购置安装</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300.00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与</w:t>
            </w:r>
            <w:r>
              <w:rPr>
                <w:rFonts w:hint="eastAsia" w:ascii="宋体" w:hAnsi="宋体" w:eastAsia="宋体" w:cs="宋体"/>
                <w:color w:val="auto"/>
                <w:sz w:val="24"/>
                <w:szCs w:val="24"/>
              </w:rPr>
              <w:t xml:space="preserve">南湖原有灯带一致</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23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购置小船</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座</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304不锈钢，1.5mm厚，3.5米渔船：长3.5米，宽1.25米，高0.35米。</w:t>
            </w:r>
            <w:r>
              <w:rPr>
                <w:color w:val="auto"/>
              </w:rPr>
            </w:r>
            <w:r/>
          </w:p>
        </w:tc>
      </w:tr>
      <w:tr>
        <w:trPr>
          <w:trHeight w:val="600"/>
        </w:trPr>
        <w:tc>
          <w:tcPr>
            <w:tcW w:w="4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24 </w:t>
            </w:r>
            <w:r>
              <w:rPr>
                <w:color w:val="auto"/>
              </w:rPr>
            </w:r>
            <w:r/>
          </w:p>
        </w:tc>
        <w:tc>
          <w:tcPr>
            <w:tcW w:w="1269"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车阻</w:t>
            </w:r>
            <w:r>
              <w:rPr>
                <w:color w:val="auto"/>
              </w:rPr>
            </w:r>
            <w:r/>
          </w:p>
        </w:tc>
        <w:tc>
          <w:tcPr>
            <w:tcW w:w="41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m</w:t>
            </w:r>
            <w:r>
              <w:rPr>
                <w:color w:val="auto"/>
              </w:rPr>
            </w:r>
            <w:r/>
          </w:p>
        </w:tc>
        <w:tc>
          <w:tcPr>
            <w:tcW w:w="564"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20.00 </w:t>
            </w:r>
            <w:r>
              <w:rPr>
                <w:color w:val="auto"/>
              </w:rPr>
            </w:r>
            <w:r/>
          </w:p>
        </w:tc>
        <w:tc>
          <w:tcPr>
            <w:tcW w:w="55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496"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242"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镀锌材质 高度30cm</w:t>
            </w:r>
            <w:r>
              <w:rPr>
                <w:color w:val="auto"/>
              </w:rPr>
            </w:r>
            <w:r/>
          </w:p>
        </w:tc>
      </w:tr>
      <w:tr>
        <w:trPr>
          <w:trHeight w:val="1185"/>
        </w:trPr>
        <w:tc>
          <w:tcPr>
            <w:gridSpan w:val="7"/>
            <w:tcW w:w="500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p>
            <w:pPr>
              <w:jc w:val="both"/>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合计人民币 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元</w:t>
            </w:r>
            <w:r>
              <w:rPr>
                <w:color w:val="auto"/>
              </w:rPr>
            </w:r>
            <w:r/>
          </w:p>
        </w:tc>
      </w:tr>
    </w:tbl>
    <w:p>
      <w:pPr>
        <w:pStyle w:val="869"/>
        <w:numPr>
          <w:ilvl w:val="0"/>
          <w:numId w:val="0"/>
        </w:numPr>
        <w:jc w:val="both"/>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rPr>
          <w:color w:val="auto"/>
        </w:rPr>
      </w:r>
      <w:r/>
    </w:p>
    <w:p>
      <w:pPr>
        <w:pStyle w:val="869"/>
        <w:jc w:val="both"/>
        <w:spacing w:beforeAutospacing="0" w:afterAutospacing="0"/>
        <w:rPr>
          <w:color w:val="auto"/>
          <w:highlight w:val="none"/>
          <w:shd w:val="clear" w:color="auto" w:fill="auto"/>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rPr>
          <w:color w:val="auto"/>
        </w:rPr>
      </w:r>
      <w:r/>
    </w:p>
    <w:p>
      <w:pPr>
        <w:pStyle w:val="869"/>
        <w:jc w:val="both"/>
        <w:spacing w:beforeAutospacing="0" w:afterAutospacing="0"/>
        <w:rPr>
          <w:color w:val="auto"/>
          <w:highlight w:val="none"/>
          <w:shd w:val="clear" w:color="auto" w:fill="auto"/>
        </w:rPr>
      </w:pPr>
      <w:r>
        <w:rPr>
          <w:color w:val="auto"/>
          <w:highlight w:val="none"/>
          <w:shd w:val="clear" w:color="auto" w:fill="auto"/>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w:t>
      </w:r>
      <w:r>
        <w:rPr>
          <w:color w:val="auto"/>
        </w:rPr>
      </w:r>
      <w:r/>
    </w:p>
    <w:tbl>
      <w:tblPr>
        <w:tblStyle w:val="86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序号</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证明</w:t>
            </w:r>
            <w:r>
              <w:rPr>
                <w:color w:val="auto"/>
              </w:rPr>
            </w:r>
            <w:r/>
          </w:p>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材料</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bl>
    <w:p>
      <w:pPr>
        <w:pStyle w:val="86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highlight w:val="none"/>
        </w:rPr>
      </w:r>
    </w:p>
    <w:p>
      <w:pPr>
        <w:pStyle w:val="869"/>
        <w:jc w:val="both"/>
        <w:spacing w:beforeAutospacing="0" w:afterAutospacing="0"/>
        <w:rPr>
          <w:color w:val="auto"/>
          <w:highlight w:val="none"/>
        </w:rPr>
      </w:pPr>
      <w:r>
        <w:rPr>
          <w:color w:val="auto"/>
          <w:highlight w:val="none"/>
        </w:rPr>
      </w:r>
      <w:r>
        <w:rPr>
          <w:color w:val="auto"/>
          <w:highlight w:val="none"/>
        </w:rPr>
      </w:r>
    </w:p>
    <w:p>
      <w:pPr>
        <w:pStyle w:val="869"/>
        <w:jc w:val="both"/>
        <w:spacing w:beforeAutospacing="0" w:afterAutospacing="0"/>
        <w:rPr>
          <w:color w:val="auto"/>
          <w:highlight w:val="none"/>
        </w:rPr>
      </w:pPr>
      <w:r>
        <w:rPr>
          <w:color w:val="auto"/>
          <w:highlight w:val="none"/>
        </w:rPr>
      </w:r>
      <w:r>
        <w:rPr>
          <w:color w:val="auto"/>
          <w:highlight w:val="none"/>
        </w:rP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rPr>
      </w:r>
      <w:bookmarkStart w:id="180" w:name="_Hlt26955054"/>
      <w:r>
        <w:rPr>
          <w:rFonts w:hint="eastAsia" w:ascii="黑体" w:hAnsi="宋体" w:eastAsia="黑体" w:cs="黑体"/>
          <w:b/>
          <w:color w:val="auto"/>
          <w:sz w:val="32"/>
          <w:szCs w:val="32"/>
          <w:highlight w:val="none"/>
        </w:rPr>
        <w:t xml:space="preserve">十四、商务要求响应及偏离表</w:t>
      </w:r>
      <w:r>
        <w:rPr>
          <w:color w:val="auto"/>
        </w:rPr>
      </w:r>
      <w:r/>
    </w:p>
    <w:tbl>
      <w:tblPr>
        <w:tblStyle w:val="86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rPr>
            </w:r>
            <w:bookmarkStart w:id="181" w:name="_Hlt26782999"/>
            <w:r>
              <w:rPr>
                <w:color w:val="auto"/>
              </w:rPr>
            </w:r>
            <w:bookmarkStart w:id="182" w:name="_Hlt26955064"/>
            <w:r>
              <w:rPr>
                <w:color w:val="auto"/>
              </w:rPr>
            </w:r>
            <w:bookmarkStart w:id="183" w:name="_Hlt26671372"/>
            <w:r>
              <w:rPr>
                <w:color w:val="auto"/>
              </w:rPr>
            </w:r>
            <w:bookmarkStart w:id="184" w:name="_Hlt26955056"/>
            <w:r>
              <w:rPr>
                <w:color w:val="auto"/>
              </w:rPr>
            </w:r>
            <w:bookmarkStart w:id="185" w:name="_Hlt24879081"/>
            <w:r>
              <w:rPr>
                <w:color w:val="auto"/>
              </w:rPr>
            </w:r>
            <w:bookmarkStart w:id="186" w:name="_Hlt26580838"/>
            <w:r>
              <w:rPr>
                <w:color w:val="auto"/>
              </w:rPr>
            </w:r>
            <w:bookmarkStart w:id="187" w:name="_Hlt26671343"/>
            <w:r>
              <w:rPr>
                <w:color w:val="auto"/>
              </w:rPr>
            </w:r>
            <w:bookmarkStart w:id="188" w:name="_Hlt26609391"/>
            <w:r>
              <w:rPr>
                <w:rFonts w:hint="eastAsia" w:ascii="宋体" w:hAnsi="宋体" w:eastAsia="宋体" w:cs="宋体"/>
                <w:color w:val="auto"/>
                <w:highlight w:val="none"/>
              </w:rPr>
              <w:t xml:space="preserve">序号</w:t>
            </w:r>
            <w:bookmarkEnd w:id="181"/>
            <w:r/>
            <w:bookmarkEnd w:id="182"/>
            <w:r/>
            <w:bookmarkEnd w:id="183"/>
            <w:r/>
            <w:bookmarkEnd w:id="184"/>
            <w:r/>
            <w:bookmarkEnd w:id="185"/>
            <w:r/>
            <w:bookmarkEnd w:id="186"/>
            <w:r/>
            <w:bookmarkEnd w:id="187"/>
            <w:r/>
            <w:bookmarkEnd w:id="188"/>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证明</w:t>
            </w:r>
            <w:r>
              <w:rPr>
                <w:color w:val="auto"/>
              </w:rPr>
            </w:r>
            <w:r/>
          </w:p>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材料</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color w:val="auto"/>
                <w:highlight w:val="none"/>
              </w:rPr>
            </w:pPr>
            <w:r>
              <w:rPr>
                <w:color w:val="auto"/>
                <w:highlight w:val="none"/>
              </w:rPr>
              <w:t xml:space="preserve"> </w:t>
            </w:r>
            <w:r>
              <w:rPr>
                <w:color w:val="auto"/>
              </w:rPr>
            </w:r>
            <w:r/>
          </w:p>
        </w:tc>
      </w:tr>
    </w:tbl>
    <w:p>
      <w:pPr>
        <w:pStyle w:val="86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rPr>
          <w:color w:val="auto"/>
        </w:rPr>
      </w:r>
      <w:r/>
    </w:p>
    <w:p>
      <w:pPr>
        <w:pStyle w:val="869"/>
        <w:jc w:val="both"/>
        <w:spacing w:beforeAutospacing="0" w:afterAutospacing="0" w:line="480" w:lineRule="auto"/>
        <w:rPr>
          <w:color w:val="auto"/>
          <w:highlight w:val="none"/>
        </w:rPr>
      </w:pPr>
      <w:r>
        <w:rPr>
          <w:color w:val="auto"/>
          <w:highlight w:val="none"/>
        </w:rPr>
        <w:t xml:space="preserve"> </w:t>
      </w:r>
      <w:r>
        <w:rPr>
          <w:color w:val="auto"/>
        </w:rPr>
      </w:r>
      <w:r/>
    </w:p>
    <w:p>
      <w:pPr>
        <w:pStyle w:val="869"/>
        <w:jc w:val="both"/>
        <w:spacing w:beforeAutospacing="0" w:afterAutospacing="0" w:line="480" w:lineRule="auto"/>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rPr>
      </w:r>
      <w:bookmarkStart w:id="189" w:name="_Hlt26609389"/>
      <w:r>
        <w:rPr>
          <w:color w:val="auto"/>
        </w:rPr>
      </w:r>
      <w:bookmarkStart w:id="190" w:name="_Hlt26671374"/>
      <w:r>
        <w:rPr>
          <w:color w:val="auto"/>
        </w:rPr>
      </w:r>
      <w:bookmarkStart w:id="191" w:name="_格式2__法定代表人授权书"/>
      <w:r>
        <w:rPr>
          <w:color w:val="auto"/>
        </w:rPr>
      </w:r>
      <w:bookmarkStart w:id="192" w:name="_Toc462564146"/>
      <w:r>
        <w:rPr>
          <w:color w:val="auto"/>
        </w:rPr>
      </w:r>
      <w:bookmarkStart w:id="193" w:name="_Hlt26955066"/>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r>
      <w:r>
        <w:rPr>
          <w:color w:val="auto"/>
          <w:highlight w:val="none"/>
        </w:rPr>
      </w:r>
    </w:p>
    <w:p>
      <w:pPr>
        <w:pStyle w:val="869"/>
        <w:jc w:val="center"/>
        <w:spacing w:beforeAutospacing="0" w:afterAutospacing="0"/>
        <w:rPr>
          <w:color w:val="auto"/>
          <w:highlight w:val="none"/>
        </w:rPr>
      </w:pPr>
      <w:r>
        <w:rPr>
          <w:color w:val="auto"/>
          <w:highlight w:val="none"/>
        </w:rPr>
      </w:r>
      <w:r>
        <w:rPr>
          <w:color w:val="auto"/>
          <w:highlight w:val="none"/>
        </w:rPr>
      </w:r>
    </w:p>
    <w:p>
      <w:pPr>
        <w:pStyle w:val="869"/>
        <w:jc w:val="center"/>
        <w:spacing w:beforeAutospacing="0" w:afterAutospacing="0"/>
        <w:rPr>
          <w:color w:val="auto"/>
          <w:highlight w:val="none"/>
        </w:rPr>
      </w:pPr>
      <w:r>
        <w:rPr>
          <w:color w:val="auto"/>
          <w:highlight w:val="none"/>
        </w:rPr>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jc w:val="center"/>
        <w:spacing w:beforeAutospacing="0" w:afterAutospacing="0"/>
        <w:rPr>
          <w:color w:val="auto"/>
          <w:highlight w:val="none"/>
        </w:rPr>
      </w:pPr>
      <w:r>
        <w:rPr>
          <w:color w:val="auto"/>
          <w:highlight w:val="none"/>
        </w:rPr>
        <w:t xml:space="preserve"> </w:t>
      </w:r>
      <w:r>
        <w:rPr>
          <w:color w:val="auto"/>
        </w:rPr>
      </w:r>
      <w:r/>
    </w:p>
    <w:p>
      <w:pPr>
        <w:pStyle w:val="869"/>
        <w:numPr>
          <w:ilvl w:val="0"/>
          <w:numId w:val="13"/>
        </w:numPr>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 xml:space="preserve">开标一览表</w:t>
      </w:r>
      <w:r>
        <w:rPr>
          <w:color w:val="auto"/>
        </w:rPr>
      </w:r>
      <w:r/>
    </w:p>
    <w:p>
      <w:pPr>
        <w:pStyle w:val="869"/>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rPr>
          <w:color w:val="auto"/>
        </w:rPr>
      </w:r>
      <w:r/>
    </w:p>
    <w:p>
      <w:pPr>
        <w:pStyle w:val="869"/>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rPr>
          <w:color w:val="auto"/>
        </w:rPr>
      </w:r>
      <w:r/>
    </w:p>
    <w:p>
      <w:pPr>
        <w:pStyle w:val="86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rPr>
          <w:color w:val="auto"/>
        </w:rPr>
      </w:r>
      <w:r/>
    </w:p>
    <w:p>
      <w:pPr>
        <w:pStyle w:val="869"/>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rPr>
          <w:color w:val="auto"/>
        </w:rPr>
      </w:r>
      <w:r/>
    </w:p>
    <w:tbl>
      <w:tblPr>
        <w:tblStyle w:val="863"/>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9"/>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rPr>
                <w:color w:val="auto"/>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9"/>
              <w:spacing w:beforeAutospacing="0" w:afterAutospacing="0" w:line="0" w:lineRule="atLeast"/>
              <w:rPr>
                <w:rFonts w:hint="default" w:ascii="宋体" w:hAnsi="宋体" w:eastAsia="宋体" w:cs="宋体"/>
                <w:color w:val="auto"/>
                <w:highlight w:val="none"/>
              </w:rPr>
            </w:pPr>
            <w:r>
              <w:rPr>
                <w:rFonts w:hint="eastAsia" w:ascii="宋体" w:hAnsi="宋体" w:eastAsia="宋体" w:cs="宋体"/>
                <w:color w:val="auto"/>
                <w:highlight w:val="none"/>
                <w:lang w:val="en-US" w:eastAsia="zh-CN"/>
              </w:rPr>
              <w:t xml:space="preserve">大写：</w:t>
            </w:r>
            <w:r>
              <w:rPr>
                <w:color w:val="auto"/>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9"/>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color w:val="auto"/>
              </w:rPr>
            </w:r>
            <w:r/>
          </w:p>
        </w:tc>
      </w:tr>
    </w:tbl>
    <w:p>
      <w:pPr>
        <w:pStyle w:val="869"/>
        <w:jc w:val="both"/>
        <w:spacing w:beforeAutospacing="0" w:afterAutospacing="0"/>
        <w:rPr>
          <w:color w:val="auto"/>
          <w:highlight w:val="none"/>
        </w:rPr>
      </w:pPr>
      <w:r>
        <w:rPr>
          <w:color w:val="auto"/>
          <w:highlight w:val="none"/>
        </w:rPr>
        <w:t xml:space="preserve"> </w:t>
      </w:r>
      <w:r>
        <w:rPr>
          <w:color w:val="auto"/>
        </w:rPr>
      </w:r>
      <w:r/>
    </w:p>
    <w:p>
      <w:pPr>
        <w:pStyle w:val="869"/>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Pr>
          <w:color w:val="auto"/>
        </w:rPr>
      </w:r>
      <w:r/>
    </w:p>
    <w:p>
      <w:pPr>
        <w:pStyle w:val="869"/>
        <w:jc w:val="both"/>
        <w:spacing w:beforeAutospacing="0" w:afterAutospacing="0"/>
        <w:rPr>
          <w:color w:val="auto"/>
          <w:highlight w:val="none"/>
        </w:rPr>
      </w:pPr>
      <w:r>
        <w:rPr>
          <w:color w:val="auto"/>
          <w:highlight w:val="none"/>
        </w:rPr>
        <w:t xml:space="preserve"> </w:t>
      </w:r>
      <w:r>
        <w:rPr>
          <w:color w:val="auto"/>
        </w:rPr>
      </w:r>
      <w:r/>
    </w:p>
    <w:p>
      <w:pPr>
        <w:pStyle w:val="869"/>
        <w:jc w:val="both"/>
        <w:spacing w:beforeAutospacing="0" w:afterAutospacing="0"/>
        <w:rPr>
          <w:color w:val="auto"/>
          <w:highlight w:val="none"/>
          <w:shd w:val="clear" w:color="auto" w:fill="auto"/>
        </w:rPr>
      </w:pPr>
      <w:r>
        <w:rPr>
          <w:color w:val="auto"/>
          <w:highlight w:val="none"/>
          <w:shd w:val="clear" w:color="auto" w:fill="auto"/>
        </w:rPr>
        <w:t xml:space="preserve"> </w:t>
      </w:r>
      <w:r>
        <w:rPr>
          <w:color w:val="auto"/>
        </w:rPr>
      </w:r>
      <w:r/>
    </w:p>
    <w:p>
      <w:pPr>
        <w:pStyle w:val="869"/>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jc w:val="center"/>
        <w:spacing w:before="50" w:after="50"/>
        <w:widowControl/>
        <w:rPr>
          <w:rFonts w:ascii="宋体" w:hAnsi="宋体" w:eastAsia="宋体" w:cs="宋体"/>
          <w:color w:val="auto"/>
          <w:sz w:val="24"/>
          <w:highlight w:val="none"/>
        </w:rPr>
      </w:pPr>
      <w:r>
        <w:rPr>
          <w:color w:val="auto"/>
          <w:highlight w:val="none"/>
        </w:rPr>
        <w:tab/>
      </w:r>
      <w:r>
        <w:rPr>
          <w:rFonts w:hint="eastAsia" w:ascii="宋体" w:hAnsi="宋体" w:eastAsia="宋体" w:cs="宋体"/>
          <w:color w:val="auto"/>
          <w:sz w:val="32"/>
          <w:szCs w:val="32"/>
          <w:highlight w:val="none"/>
        </w:rPr>
        <w:t xml:space="preserve">十六、技术方案、服务承诺、培训承诺等</w:t>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869"/>
        <w:jc w:val="center"/>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十七、盐城市政府采购事前信用承诺书</w:t>
      </w:r>
      <w:r>
        <w:rPr>
          <w:color w:val="auto"/>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rPr>
          <w:color w:val="auto"/>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rPr>
          <w:color w:val="auto"/>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rPr>
          <w:color w:val="auto"/>
        </w:rPr>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rPr>
          <w:color w:val="auto"/>
        </w:rPr>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rPr>
          <w:color w:val="auto"/>
        </w:rPr>
      </w:r>
      <w:r/>
    </w:p>
    <w:p>
      <w:pPr>
        <w:pStyle w:val="869"/>
        <w:jc w:val="center"/>
        <w:spacing w:beforeAutospacing="0" w:afterAutospacing="0"/>
        <w:rPr>
          <w:color w:val="auto"/>
          <w:highlight w:val="none"/>
        </w:rPr>
      </w:pPr>
      <w:r>
        <w:rPr>
          <w:color w:val="auto"/>
          <w:highlight w:val="none"/>
        </w:rPr>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73"/>
      <w:r/>
      <w:bookmarkEnd w:id="174"/>
      <w:r/>
      <w:bookmarkEnd w:id="175"/>
      <w:r/>
      <w:bookmarkEnd w:id="176"/>
      <w:r/>
      <w:bookmarkEnd w:id="177"/>
      <w:r/>
      <w:bookmarkEnd w:id="178"/>
      <w:r/>
      <w:bookmarkEnd w:id="179"/>
      <w:r/>
      <w:bookmarkEnd w:id="180"/>
      <w:r/>
      <w:bookmarkEnd w:id="189"/>
      <w:r/>
      <w:bookmarkEnd w:id="190"/>
      <w:r/>
      <w:bookmarkEnd w:id="191"/>
      <w:r/>
      <w:bookmarkEnd w:id="192"/>
      <w:r/>
      <w:bookmarkEnd w:id="193"/>
      <w:r>
        <w:rPr>
          <w:color w:val="auto"/>
        </w:rPr>
      </w:r>
      <w:r/>
    </w:p>
    <w:p>
      <w:pPr>
        <w:pStyle w:val="86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pStyle w:val="86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pStyle w:val="869"/>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rPr>
          <w:color w:val="auto"/>
        </w:rPr>
      </w:r>
      <w:r/>
    </w:p>
    <w:p>
      <w:pPr>
        <w:pStyle w:val="869"/>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rPr>
          <w:color w:val="auto"/>
        </w:rPr>
      </w:r>
      <w:r/>
    </w:p>
    <w:p>
      <w:pPr>
        <w:pStyle w:val="86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rPr>
          <w:color w:val="auto"/>
        </w:rPr>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rPr>
          <w:color w:val="auto"/>
        </w:rPr>
      </w:r>
      <w:r/>
    </w:p>
    <w:p>
      <w:pPr>
        <w:pStyle w:val="869"/>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rPr>
          <w:color w:val="auto"/>
        </w:rPr>
      </w:r>
      <w:r/>
    </w:p>
    <w:p>
      <w:pPr>
        <w:pStyle w:val="869"/>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rPr>
          <w:color w:val="auto"/>
        </w:rPr>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rPr>
          <w:color w:val="auto"/>
        </w:rPr>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rPr>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rPr>
          <w:color w:val="auto"/>
        </w:rPr>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rPr>
          <w:color w:val="auto"/>
        </w:rPr>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rPr>
          <w:color w:val="auto"/>
        </w:rPr>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rPr>
          <w:color w:val="auto"/>
        </w:rPr>
      </w:r>
      <w:r/>
    </w:p>
    <w:p>
      <w:pPr>
        <w:pStyle w:val="869"/>
        <w:spacing w:beforeAutospacing="0" w:afterAutospacing="0"/>
        <w:rPr>
          <w:color w:val="auto"/>
          <w:highlight w:val="none"/>
        </w:rPr>
      </w:pPr>
      <w:r>
        <w:rPr>
          <w:color w:val="auto"/>
          <w:highlight w:val="none"/>
        </w:rPr>
      </w: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9"/>
  </w:num>
  <w:num w:numId="3">
    <w:abstractNumId w:val="8"/>
  </w:num>
  <w:num w:numId="4">
    <w:abstractNumId w:val="3"/>
  </w:num>
  <w:num w:numId="5">
    <w:abstractNumId w:val="4"/>
  </w:num>
  <w:num w:numId="6">
    <w:abstractNumId w:val="12"/>
  </w:num>
  <w:num w:numId="7">
    <w:abstractNumId w:val="6"/>
    <w:lvlOverride w:ilvl="0">
      <w:startOverride w:val="2"/>
    </w:lvlOverride>
  </w:num>
  <w:num w:numId="8">
    <w:abstractNumId w:val="5"/>
    <w:lvlOverride w:ilvl="0">
      <w:startOverride w:val="6"/>
    </w:lvlOverride>
  </w:num>
  <w:num w:numId="9">
    <w:abstractNumId w:val="2"/>
    <w:lvlOverride w:ilvl="0">
      <w:startOverride w:val="16"/>
    </w:lvlOverride>
  </w:num>
  <w:num w:numId="10">
    <w:abstractNumId w:val="7"/>
    <w:lvlOverride w:ilvl="0">
      <w:startOverride w:val="23"/>
    </w:lvlOverride>
  </w:num>
  <w:num w:numId="11">
    <w:abstractNumId w:val="11"/>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0"/>
    <w:next w:val="860"/>
    <w:link w:val="686"/>
    <w:uiPriority w:val="9"/>
    <w:qFormat/>
    <w:pPr>
      <w:keepLines/>
      <w:keepNext/>
      <w:spacing w:before="480" w:after="200"/>
      <w:outlineLvl w:val="0"/>
    </w:pPr>
    <w:rPr>
      <w:rFonts w:ascii="Arial" w:hAnsi="Arial" w:eastAsia="Arial" w:cs="Arial"/>
      <w:sz w:val="40"/>
      <w:szCs w:val="40"/>
    </w:rPr>
  </w:style>
  <w:style w:type="character" w:styleId="686">
    <w:name w:val="Heading 1 Char"/>
    <w:basedOn w:val="862"/>
    <w:link w:val="685"/>
    <w:uiPriority w:val="9"/>
    <w:rPr>
      <w:rFonts w:ascii="Arial" w:hAnsi="Arial" w:eastAsia="Arial" w:cs="Arial"/>
      <w:sz w:val="40"/>
      <w:szCs w:val="40"/>
    </w:rPr>
  </w:style>
  <w:style w:type="character" w:styleId="687">
    <w:name w:val="Heading 2 Char"/>
    <w:basedOn w:val="862"/>
    <w:link w:val="861"/>
    <w:uiPriority w:val="9"/>
    <w:rPr>
      <w:rFonts w:ascii="Arial" w:hAnsi="Arial" w:eastAsia="Arial" w:cs="Arial"/>
      <w:sz w:val="34"/>
    </w:rPr>
  </w:style>
  <w:style w:type="paragraph" w:styleId="688">
    <w:name w:val="Heading 3"/>
    <w:basedOn w:val="860"/>
    <w:next w:val="860"/>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2"/>
    <w:link w:val="688"/>
    <w:uiPriority w:val="9"/>
    <w:rPr>
      <w:rFonts w:ascii="Arial" w:hAnsi="Arial" w:eastAsia="Arial" w:cs="Arial"/>
      <w:sz w:val="30"/>
      <w:szCs w:val="30"/>
    </w:rPr>
  </w:style>
  <w:style w:type="paragraph" w:styleId="690">
    <w:name w:val="Heading 4"/>
    <w:basedOn w:val="860"/>
    <w:next w:val="860"/>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2"/>
    <w:link w:val="690"/>
    <w:uiPriority w:val="9"/>
    <w:rPr>
      <w:rFonts w:ascii="Arial" w:hAnsi="Arial" w:eastAsia="Arial" w:cs="Arial"/>
      <w:b/>
      <w:bCs/>
      <w:sz w:val="26"/>
      <w:szCs w:val="26"/>
    </w:rPr>
  </w:style>
  <w:style w:type="paragraph" w:styleId="692">
    <w:name w:val="Heading 5"/>
    <w:basedOn w:val="860"/>
    <w:next w:val="860"/>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2"/>
    <w:link w:val="692"/>
    <w:uiPriority w:val="9"/>
    <w:rPr>
      <w:rFonts w:ascii="Arial" w:hAnsi="Arial" w:eastAsia="Arial" w:cs="Arial"/>
      <w:b/>
      <w:bCs/>
      <w:sz w:val="24"/>
      <w:szCs w:val="24"/>
    </w:rPr>
  </w:style>
  <w:style w:type="paragraph" w:styleId="694">
    <w:name w:val="Heading 6"/>
    <w:basedOn w:val="860"/>
    <w:next w:val="860"/>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2"/>
    <w:link w:val="694"/>
    <w:uiPriority w:val="9"/>
    <w:rPr>
      <w:rFonts w:ascii="Arial" w:hAnsi="Arial" w:eastAsia="Arial" w:cs="Arial"/>
      <w:b/>
      <w:bCs/>
      <w:sz w:val="22"/>
      <w:szCs w:val="22"/>
    </w:rPr>
  </w:style>
  <w:style w:type="paragraph" w:styleId="696">
    <w:name w:val="Heading 7"/>
    <w:basedOn w:val="860"/>
    <w:next w:val="860"/>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2"/>
    <w:link w:val="696"/>
    <w:uiPriority w:val="9"/>
    <w:rPr>
      <w:rFonts w:ascii="Arial" w:hAnsi="Arial" w:eastAsia="Arial" w:cs="Arial"/>
      <w:b/>
      <w:bCs/>
      <w:i/>
      <w:iCs/>
      <w:sz w:val="22"/>
      <w:szCs w:val="22"/>
    </w:rPr>
  </w:style>
  <w:style w:type="paragraph" w:styleId="698">
    <w:name w:val="Heading 8"/>
    <w:basedOn w:val="860"/>
    <w:next w:val="860"/>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2"/>
    <w:link w:val="698"/>
    <w:uiPriority w:val="9"/>
    <w:rPr>
      <w:rFonts w:ascii="Arial" w:hAnsi="Arial" w:eastAsia="Arial" w:cs="Arial"/>
      <w:i/>
      <w:iCs/>
      <w:sz w:val="22"/>
      <w:szCs w:val="22"/>
    </w:rPr>
  </w:style>
  <w:style w:type="paragraph" w:styleId="700">
    <w:name w:val="Heading 9"/>
    <w:basedOn w:val="860"/>
    <w:next w:val="860"/>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2"/>
    <w:link w:val="700"/>
    <w:uiPriority w:val="9"/>
    <w:rPr>
      <w:rFonts w:ascii="Arial" w:hAnsi="Arial" w:eastAsia="Arial" w:cs="Arial"/>
      <w:i/>
      <w:iCs/>
      <w:sz w:val="21"/>
      <w:szCs w:val="21"/>
    </w:rPr>
  </w:style>
  <w:style w:type="paragraph" w:styleId="702">
    <w:name w:val="List Paragraph"/>
    <w:basedOn w:val="860"/>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0"/>
    <w:next w:val="860"/>
    <w:link w:val="705"/>
    <w:uiPriority w:val="10"/>
    <w:qFormat/>
    <w:pPr>
      <w:contextualSpacing/>
      <w:spacing w:before="300" w:after="200"/>
    </w:pPr>
    <w:rPr>
      <w:sz w:val="48"/>
      <w:szCs w:val="48"/>
    </w:rPr>
  </w:style>
  <w:style w:type="character" w:styleId="705">
    <w:name w:val="Title Char"/>
    <w:basedOn w:val="862"/>
    <w:link w:val="704"/>
    <w:uiPriority w:val="10"/>
    <w:rPr>
      <w:sz w:val="48"/>
      <w:szCs w:val="48"/>
    </w:rPr>
  </w:style>
  <w:style w:type="paragraph" w:styleId="706">
    <w:name w:val="Subtitle"/>
    <w:basedOn w:val="860"/>
    <w:next w:val="860"/>
    <w:link w:val="707"/>
    <w:uiPriority w:val="11"/>
    <w:qFormat/>
    <w:pPr>
      <w:spacing w:before="200" w:after="200"/>
    </w:pPr>
    <w:rPr>
      <w:sz w:val="24"/>
      <w:szCs w:val="24"/>
    </w:rPr>
  </w:style>
  <w:style w:type="character" w:styleId="707">
    <w:name w:val="Subtitle Char"/>
    <w:basedOn w:val="862"/>
    <w:link w:val="706"/>
    <w:uiPriority w:val="11"/>
    <w:rPr>
      <w:sz w:val="24"/>
      <w:szCs w:val="24"/>
    </w:rPr>
  </w:style>
  <w:style w:type="paragraph" w:styleId="708">
    <w:name w:val="Quote"/>
    <w:basedOn w:val="860"/>
    <w:next w:val="860"/>
    <w:link w:val="709"/>
    <w:uiPriority w:val="29"/>
    <w:qFormat/>
    <w:pPr>
      <w:ind w:left="720" w:right="720"/>
    </w:pPr>
    <w:rPr>
      <w:i/>
    </w:rPr>
  </w:style>
  <w:style w:type="character" w:styleId="709">
    <w:name w:val="Quote Char"/>
    <w:link w:val="708"/>
    <w:uiPriority w:val="29"/>
    <w:rPr>
      <w:i/>
    </w:rPr>
  </w:style>
  <w:style w:type="paragraph" w:styleId="710">
    <w:name w:val="Intense Quote"/>
    <w:basedOn w:val="860"/>
    <w:next w:val="860"/>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2"/>
    <w:link w:val="868"/>
    <w:uiPriority w:val="99"/>
  </w:style>
  <w:style w:type="character" w:styleId="713">
    <w:name w:val="Footer Char"/>
    <w:basedOn w:val="862"/>
    <w:link w:val="867"/>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867"/>
    <w:uiPriority w:val="99"/>
  </w:style>
  <w:style w:type="table" w:styleId="716">
    <w:name w:val="Table Grid"/>
    <w:basedOn w:val="8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3">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7">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2">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9">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9">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3">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6">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0">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2"/>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2"/>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1">
    <w:name w:val="Heading 2"/>
    <w:basedOn w:val="860"/>
    <w:next w:val="86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annotation text"/>
    <w:basedOn w:val="860"/>
    <w:uiPriority w:val="0"/>
    <w:qFormat/>
    <w:pPr>
      <w:jc w:val="left"/>
    </w:pPr>
  </w:style>
  <w:style w:type="paragraph" w:styleId="865">
    <w:name w:val="Body Text"/>
    <w:basedOn w:val="860"/>
    <w:next w:val="860"/>
    <w:uiPriority w:val="0"/>
    <w:unhideWhenUsed/>
    <w:qFormat/>
    <w:pPr>
      <w:spacing w:after="120"/>
    </w:pPr>
    <w:rPr>
      <w:rFonts w:ascii="Calibri" w:hAnsi="Calibri"/>
      <w:szCs w:val="22"/>
    </w:rPr>
  </w:style>
  <w:style w:type="paragraph" w:styleId="866">
    <w:name w:val="Plain Text"/>
    <w:basedOn w:val="860"/>
    <w:uiPriority w:val="0"/>
    <w:unhideWhenUsed/>
    <w:qFormat/>
    <w:rPr>
      <w:rFonts w:ascii="宋体" w:hAnsi="Courier New" w:cs="Courier New"/>
      <w:szCs w:val="21"/>
    </w:rPr>
  </w:style>
  <w:style w:type="paragraph" w:styleId="867">
    <w:name w:val="Footer"/>
    <w:basedOn w:val="860"/>
    <w:link w:val="872"/>
    <w:uiPriority w:val="0"/>
    <w:qFormat/>
    <w:pPr>
      <w:jc w:val="left"/>
      <w:tabs>
        <w:tab w:val="center" w:pos="4153" w:leader="none"/>
        <w:tab w:val="right" w:pos="8306" w:leader="none"/>
      </w:tabs>
    </w:pPr>
    <w:rPr>
      <w:sz w:val="18"/>
      <w:szCs w:val="18"/>
    </w:rPr>
  </w:style>
  <w:style w:type="paragraph" w:styleId="868">
    <w:name w:val="Header"/>
    <w:basedOn w:val="860"/>
    <w:link w:val="871"/>
    <w:uiPriority w:val="0"/>
    <w:qFormat/>
    <w:pPr>
      <w:jc w:val="center"/>
      <w:tabs>
        <w:tab w:val="center" w:pos="4153" w:leader="none"/>
        <w:tab w:val="right" w:pos="8306" w:leader="none"/>
      </w:tabs>
      <w:pBdr>
        <w:bottom w:val="single" w:color="auto" w:sz="6" w:space="1"/>
      </w:pBdr>
    </w:pPr>
    <w:rPr>
      <w:sz w:val="18"/>
      <w:szCs w:val="18"/>
    </w:rPr>
  </w:style>
  <w:style w:type="paragraph" w:styleId="869">
    <w:name w:val="Normal (Web)"/>
    <w:basedOn w:val="860"/>
    <w:uiPriority w:val="0"/>
    <w:qFormat/>
    <w:pPr>
      <w:jc w:val="left"/>
      <w:spacing w:beforeAutospacing="1" w:afterAutospacing="1"/>
    </w:pPr>
    <w:rPr>
      <w:rFonts w:cs="Times New Roman"/>
      <w:sz w:val="24"/>
    </w:rPr>
  </w:style>
  <w:style w:type="paragraph" w:styleId="870" w:customStyle="1">
    <w:name w:val="Default"/>
    <w:basedOn w:val="860"/>
    <w:uiPriority w:val="0"/>
    <w:semiHidden/>
    <w:qFormat/>
    <w:pPr>
      <w:jc w:val="left"/>
    </w:pPr>
    <w:rPr>
      <w:rFonts w:ascii="宋体" w:hAnsi="Calibri" w:cs="宋体"/>
      <w:color w:val="000000"/>
      <w:sz w:val="24"/>
    </w:rPr>
  </w:style>
  <w:style w:type="character" w:styleId="871" w:customStyle="1">
    <w:name w:val="页眉 Char"/>
    <w:basedOn w:val="862"/>
    <w:link w:val="868"/>
    <w:uiPriority w:val="0"/>
    <w:qFormat/>
    <w:rPr>
      <w:rFonts w:asciiTheme="minorHAnsi" w:hAnsiTheme="minorHAnsi" w:eastAsiaTheme="minorEastAsia" w:cstheme="minorBidi"/>
      <w:sz w:val="18"/>
      <w:szCs w:val="18"/>
    </w:rPr>
  </w:style>
  <w:style w:type="character" w:styleId="872" w:customStyle="1">
    <w:name w:val="页脚 Char"/>
    <w:basedOn w:val="862"/>
    <w:link w:val="867"/>
    <w:uiPriority w:val="0"/>
    <w:qFormat/>
    <w:rPr>
      <w:rFonts w:asciiTheme="minorHAnsi" w:hAnsiTheme="minorHAnsi" w:eastAsiaTheme="minorEastAsia" w:cstheme="minorBidi"/>
      <w:sz w:val="18"/>
      <w:szCs w:val="18"/>
    </w:rPr>
  </w:style>
  <w:style w:type="paragraph" w:styleId="87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4" w:customStyle="1">
    <w:name w:val="页脚1"/>
    <w:basedOn w:val="860"/>
    <w:uiPriority w:val="99"/>
    <w:unhideWhenUsed/>
    <w:qFormat/>
    <w:pPr>
      <w:jc w:val="left"/>
      <w:tabs>
        <w:tab w:val="center" w:pos="4153" w:leader="none"/>
        <w:tab w:val="right" w:pos="8306" w:leader="none"/>
      </w:tabs>
    </w:pPr>
    <w:rPr>
      <w:sz w:val="18"/>
      <w:szCs w:val="18"/>
    </w:rPr>
  </w:style>
  <w:style w:type="paragraph" w:styleId="875" w:customStyle="1">
    <w:name w:val="普通正文"/>
    <w:basedOn w:val="860"/>
    <w:uiPriority w:val="0"/>
    <w:qFormat/>
    <w:pPr>
      <w:ind w:firstLine="480"/>
      <w:jc w:val="left"/>
      <w:spacing w:before="120" w:after="120" w:line="360" w:lineRule="auto"/>
    </w:pPr>
    <w:rPr>
      <w:rFonts w:ascii="Arial" w:hAnsi="Arial" w:eastAsia="等线" w:cs="Arial"/>
      <w:sz w:val="24"/>
      <w:szCs w:val="24"/>
    </w:rPr>
  </w:style>
  <w:style w:type="paragraph" w:styleId="876" w:customStyle="1">
    <w:name w:val="正文首行缩进 21"/>
    <w:basedOn w:val="877"/>
    <w:uiPriority w:val="0"/>
    <w:qFormat/>
    <w:pPr>
      <w:ind w:firstLine="420"/>
    </w:pPr>
  </w:style>
  <w:style w:type="paragraph" w:styleId="877" w:customStyle="1">
    <w:name w:val="正文文本缩进1"/>
    <w:basedOn w:val="860"/>
    <w:uiPriority w:val="0"/>
    <w:qFormat/>
    <w:pPr>
      <w:ind w:left="420"/>
      <w:spacing w:after="120"/>
    </w:p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122</cp:revision>
  <dcterms:created xsi:type="dcterms:W3CDTF">2014-10-29T12:08:00Z</dcterms:created>
  <dcterms:modified xsi:type="dcterms:W3CDTF">2025-12-11T03:30:15Z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2CE725C660F74BC6B9F9F213959B39C7_13</vt:lpwstr>
  </property>
  <property fmtid="{D5CDD505-2E9C-101B-9397-08002B2CF9AE}" pid="4" name="KSOTemplateDocerSaveRecord">
    <vt:lpwstr>eyJoZGlkIjoiMjU0NzQ2YzAyN2QxOWYzODJjODhlMjEyZWM0NTBmZWIiLCJ1c2VySWQiOiIyNTg2MjM1MDcifQ==</vt:lpwstr>
  </property>
</Properties>
</file>